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760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A1A45" w:color="auto" w:val="clear"/>
            <w:tcMar>
              <w:top w:type="dxa" w:w="400"/>
              <w:left w:type="dxa" w:w="560"/>
              <w:bottom w:type="dxa" w:w="400"/>
              <w:right w:type="dxa" w:w="560"/>
            </w:tcMar>
            <w:vAlign w:val="center"/>
          </w:tcPr>
          <w:p>
            <w:pPr>
              <w:spacing w:after="360"/>
            </w:pPr>
            <w:r>
              <w:rPr>
                <w:rFonts w:ascii="Arial" w:cs="Arial" w:eastAsia="Arial" w:hAnsi="Arial"/>
                <w:b/>
                <w:bCs/>
                <w:color w:val="6FA0FF"/>
                <w:spacing w:val="60"/>
                <w:sz w:val="22"/>
                <w:szCs w:val="22"/>
              </w:rPr>
              <w:t xml:space="preserve">PROCESS LAB PRO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72"/>
                <w:szCs w:val="72"/>
              </w:rPr>
              <w:t xml:space="preserve">Praktyczny</w:t>
            </w:r>
          </w:p>
          <w:p>
            <w:pPr>
              <w:spacing w:after="240"/>
            </w:pPr>
            <w:r>
              <w:rPr>
                <w:rFonts w:ascii="Arial" w:cs="Arial" w:eastAsia="Arial" w:hAnsi="Arial"/>
                <w:b/>
                <w:bCs/>
                <w:color w:val="FFFFFF"/>
                <w:sz w:val="72"/>
                <w:szCs w:val="72"/>
              </w:rPr>
              <w:t xml:space="preserve">przewodnik 5S</w:t>
            </w:r>
          </w:p>
          <w:p>
            <w:pPr>
              <w:spacing w:after="360" w:line="276"/>
            </w:pPr>
            <w:r>
              <w:rPr>
                <w:rFonts w:ascii="Arial" w:cs="Arial" w:eastAsia="Arial" w:hAnsi="Arial"/>
                <w:color w:val="C9D6F5"/>
                <w:sz w:val="30"/>
                <w:szCs w:val="30"/>
              </w:rPr>
              <w:t xml:space="preserve">Wdrożenie, audyt i utrzymanie standardu w zakładzie produkcyjnym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8FA6D9"/>
                <w:sz w:val="21"/>
                <w:szCs w:val="21"/>
              </w:rPr>
              <w:t xml:space="preserve">Część zestawu wdrożeniowego 5S</w:t>
            </w:r>
          </w:p>
        </w:tc>
      </w:tr>
    </w:tbl>
    <w:tbl>
      <w:tblPr>
        <w:tblW w:type="dxa" w:w="963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7"/>
        <w:gridCol w:w="1927"/>
        <w:gridCol w:w="1927"/>
        <w:gridCol w:w="1927"/>
        <w:gridCol w:w="1927"/>
      </w:tblGrid>
      <w:tr>
        <w:tc>
          <w:tcPr>
            <w:tcW w:type="dxa" w:w="1927"/>
            <w:tcBorders>
              <w:top w:val="none" w:color="FFFFFF" w:sz="0"/>
              <w:left w:val="single" w:color="FFFFFF" w:sz="12"/>
              <w:bottom w:val="none" w:color="FFFFFF" w:sz="0"/>
              <w:right w:val="single" w:color="FFFFFF" w:sz="12"/>
            </w:tcBorders>
            <w:shd w:fill="D9523F" w:color="auto" w:val="clear"/>
            <w:tcMar>
              <w:top w:type="dxa" w:w="140"/>
              <w:left w:type="dxa" w:w="60"/>
              <w:bottom w:type="dxa" w:w="140"/>
              <w:right w:type="dxa" w:w="60"/>
            </w:tcMar>
            <w:vAlign w:val="center"/>
          </w:tcPr>
          <w:p>
            <w:pPr>
              <w:spacing w:after="2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0"/>
                <w:szCs w:val="30"/>
              </w:rPr>
              <w:t xml:space="preserve">1S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color w:val="FFFFFF"/>
                <w:sz w:val="17"/>
                <w:szCs w:val="17"/>
              </w:rPr>
              <w:t xml:space="preserve">Sortowanie</w:t>
            </w:r>
          </w:p>
        </w:tc>
        <w:tc>
          <w:tcPr>
            <w:tcW w:type="dxa" w:w="1927"/>
            <w:tcBorders>
              <w:top w:val="none" w:color="FFFFFF" w:sz="0"/>
              <w:left w:val="single" w:color="FFFFFF" w:sz="12"/>
              <w:bottom w:val="none" w:color="FFFFFF" w:sz="0"/>
              <w:right w:val="single" w:color="FFFFFF" w:sz="12"/>
            </w:tcBorders>
            <w:shd w:fill="E69A1F" w:color="auto" w:val="clear"/>
            <w:tcMar>
              <w:top w:type="dxa" w:w="140"/>
              <w:left w:type="dxa" w:w="60"/>
              <w:bottom w:type="dxa" w:w="140"/>
              <w:right w:type="dxa" w:w="60"/>
            </w:tcMar>
            <w:vAlign w:val="center"/>
          </w:tcPr>
          <w:p>
            <w:pPr>
              <w:spacing w:after="2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0"/>
                <w:szCs w:val="30"/>
              </w:rPr>
              <w:t xml:space="preserve">2S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color w:val="FFFFFF"/>
                <w:sz w:val="17"/>
                <w:szCs w:val="17"/>
              </w:rPr>
              <w:t xml:space="preserve">Systematyka</w:t>
            </w:r>
          </w:p>
        </w:tc>
        <w:tc>
          <w:tcPr>
            <w:tcW w:type="dxa" w:w="1927"/>
            <w:tcBorders>
              <w:top w:val="none" w:color="FFFFFF" w:sz="0"/>
              <w:left w:val="single" w:color="FFFFFF" w:sz="12"/>
              <w:bottom w:val="none" w:color="FFFFFF" w:sz="0"/>
              <w:right w:val="single" w:color="FFFFFF" w:sz="12"/>
            </w:tcBorders>
            <w:shd w:fill="27956B" w:color="auto" w:val="clear"/>
            <w:tcMar>
              <w:top w:type="dxa" w:w="140"/>
              <w:left w:type="dxa" w:w="60"/>
              <w:bottom w:type="dxa" w:w="140"/>
              <w:right w:type="dxa" w:w="60"/>
            </w:tcMar>
            <w:vAlign w:val="center"/>
          </w:tcPr>
          <w:p>
            <w:pPr>
              <w:spacing w:after="2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0"/>
                <w:szCs w:val="30"/>
              </w:rPr>
              <w:t xml:space="preserve">3S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color w:val="FFFFFF"/>
                <w:sz w:val="17"/>
                <w:szCs w:val="17"/>
              </w:rPr>
              <w:t xml:space="preserve">Sprzątanie</w:t>
            </w:r>
          </w:p>
        </w:tc>
        <w:tc>
          <w:tcPr>
            <w:tcW w:type="dxa" w:w="1927"/>
            <w:tcBorders>
              <w:top w:val="none" w:color="FFFFFF" w:sz="0"/>
              <w:left w:val="single" w:color="FFFFFF" w:sz="12"/>
              <w:bottom w:val="none" w:color="FFFFFF" w:sz="0"/>
              <w:right w:val="single" w:color="FFFFFF" w:sz="12"/>
            </w:tcBorders>
            <w:shd w:fill="2F6FE0" w:color="auto" w:val="clear"/>
            <w:tcMar>
              <w:top w:type="dxa" w:w="140"/>
              <w:left w:type="dxa" w:w="60"/>
              <w:bottom w:type="dxa" w:w="140"/>
              <w:right w:type="dxa" w:w="60"/>
            </w:tcMar>
            <w:vAlign w:val="center"/>
          </w:tcPr>
          <w:p>
            <w:pPr>
              <w:spacing w:after="2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0"/>
                <w:szCs w:val="30"/>
              </w:rPr>
              <w:t xml:space="preserve">4S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color w:val="FFFFFF"/>
                <w:sz w:val="17"/>
                <w:szCs w:val="17"/>
              </w:rPr>
              <w:t xml:space="preserve">Standaryzacja</w:t>
            </w:r>
          </w:p>
        </w:tc>
        <w:tc>
          <w:tcPr>
            <w:tcW w:type="dxa" w:w="1927"/>
            <w:tcBorders>
              <w:top w:val="none" w:color="FFFFFF" w:sz="0"/>
              <w:left w:val="single" w:color="FFFFFF" w:sz="12"/>
              <w:bottom w:val="none" w:color="FFFFFF" w:sz="0"/>
              <w:right w:val="single" w:color="FFFFFF" w:sz="12"/>
            </w:tcBorders>
            <w:shd w:fill="7050C8" w:color="auto" w:val="clear"/>
            <w:tcMar>
              <w:top w:type="dxa" w:w="140"/>
              <w:left w:type="dxa" w:w="60"/>
              <w:bottom w:type="dxa" w:w="140"/>
              <w:right w:type="dxa" w:w="60"/>
            </w:tcMar>
            <w:vAlign w:val="center"/>
          </w:tcPr>
          <w:p>
            <w:pPr>
              <w:spacing w:after="2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0"/>
                <w:szCs w:val="30"/>
              </w:rPr>
              <w:t xml:space="preserve">5S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color w:val="FFFFFF"/>
                <w:sz w:val="17"/>
                <w:szCs w:val="17"/>
              </w:rPr>
              <w:t xml:space="preserve">Samodyscyplina</w:t>
            </w:r>
          </w:p>
        </w:tc>
      </w:tr>
    </w:tbl>
    <w:p>
      <w:pPr>
        <w:keepNext w:val="false"/>
        <w:spacing w:after="900"/>
      </w:pPr>
    </w:p>
    <w:p>
      <w:pPr>
        <w:spacing w:after="120" w:before="0" w:line="276"/>
        <w:jc w:val="left"/>
      </w:pPr>
      <w:r>
        <w:rPr>
          <w:rFonts w:ascii="Arial" w:cs="Arial" w:eastAsia="Arial" w:hAnsi="Arial"/>
          <w:b/>
          <w:bCs/>
          <w:color w:val="1B2233"/>
          <w:sz w:val="21"/>
          <w:szCs w:val="21"/>
        </w:rPr>
        <w:t xml:space="preserve">W tym przewodniku:</w:t>
      </w:r>
      <w:r>
        <w:rPr>
          <w:rFonts w:ascii="Arial" w:cs="Arial" w:eastAsia="Arial" w:hAnsi="Arial"/>
          <w:color w:val="1B2233"/>
          <w:sz w:val="21"/>
          <w:szCs w:val="21"/>
        </w:rPr>
        <w:t xml:space="preserve"> jak przygotować i przeprowadzić wdrożenie 5S, jak mierzyć wynik audytem 0–4, jak zamieniać uwagi w działania i jak utrzymać porządek po zakończeniu akcji.</w:t>
      </w:r>
    </w:p>
    <w:p>
      <w:pPr>
        <w:keepNext w:val="false"/>
        <w:spacing w:after="500"/>
      </w:pPr>
    </w:p>
    <w:p>
      <w:pPr>
        <w:spacing w:after="40" w:before="0" w:line="276"/>
        <w:jc w:val="left"/>
      </w:pPr>
      <w:r>
        <w:rPr>
          <w:rFonts w:ascii="Arial" w:cs="Arial" w:eastAsia="Arial" w:hAnsi="Arial"/>
          <w:color w:val="5B6475"/>
          <w:sz w:val="18"/>
          <w:szCs w:val="18"/>
        </w:rPr>
        <w:t xml:space="preserve">Egzemplarz licencjonowany dla:</w:t>
      </w:r>
    </w:p>
    <w:p>
      <w:pPr>
        <w:spacing w:after="360"/>
      </w:pPr>
      <w:r>
        <w:rPr>
          <w:rFonts w:ascii="Arial" w:cs="Arial" w:eastAsia="Arial" w:hAnsi="Arial"/>
          <w:color w:val="AAB3C5"/>
          <w:sz w:val="22"/>
          <w:szCs w:val="22"/>
        </w:rPr>
        <w:t xml:space="preserve">______________________________________________</w:t>
      </w:r>
    </w:p>
    <w:p>
      <w:pPr>
        <w:spacing w:after="120" w:before="0" w:line="276"/>
        <w:jc w:val="left"/>
      </w:pPr>
      <w:r>
        <w:rPr>
          <w:rFonts w:ascii="Arial" w:cs="Arial" w:eastAsia="Arial" w:hAnsi="Arial"/>
          <w:color w:val="5B6475"/>
          <w:sz w:val="18"/>
          <w:szCs w:val="18"/>
        </w:rPr>
        <w:t xml:space="preserve">Wersja 1.0  |  Process Lab Pro  |  processlabpro.com</w:t>
      </w:r>
    </w:p>
    <w:p>
      <w:r>
        <w:br w:type="page"/>
      </w:r>
    </w:p>
    <w:p>
      <w:pPr>
        <w:pBdr>
          <w:bottom w:val="single" w:color="1F4FD8" w:sz="12" w:space="6"/>
        </w:pBdr>
        <w:spacing w:after="280"/>
      </w:pPr>
      <w:r>
        <w:rPr>
          <w:rFonts w:ascii="Arial" w:cs="Arial" w:eastAsia="Arial" w:hAnsi="Arial"/>
          <w:b/>
          <w:bCs/>
          <w:color w:val="0A1A45"/>
          <w:sz w:val="34"/>
          <w:szCs w:val="34"/>
        </w:rPr>
        <w:t xml:space="preserve">Spis treści</w:t>
      </w:r>
    </w:p>
    <w:p>
      <w:pPr>
        <w:tabs>
          <w:tab w:val="right" w:pos="9638" w:leader="dot"/>
        </w:tabs>
        <w:spacing w:after="150"/>
      </w:pPr>
      <w:r>
        <w:rPr>
          <w:rFonts w:ascii="Arial" w:cs="Arial" w:eastAsia="Arial" w:hAnsi="Arial"/>
          <w:b/>
          <w:bCs/>
          <w:color w:val="0A1A45"/>
          <w:sz w:val="23"/>
          <w:szCs w:val="23"/>
        </w:rPr>
        <w:t xml:space="preserve">1. Jak korzystać z zestawu</w:t>
      </w:r>
      <w:r>
        <w:rPr>
          <w:rFonts w:ascii="Arial" w:cs="Arial" w:eastAsia="Arial" w:hAnsi="Arial"/>
          <w:color w:val="5B6475"/>
          <w:sz w:val="23"/>
          <w:szCs w:val="23"/>
        </w:rPr>
        <w:t xml:space="preserve">	3</w:t>
      </w:r>
    </w:p>
    <w:p>
      <w:pPr>
        <w:tabs>
          <w:tab w:val="right" w:pos="9638" w:leader="dot"/>
        </w:tabs>
        <w:spacing w:after="150"/>
      </w:pPr>
      <w:r>
        <w:rPr>
          <w:rFonts w:ascii="Arial" w:cs="Arial" w:eastAsia="Arial" w:hAnsi="Arial"/>
          <w:b/>
          <w:bCs/>
          <w:color w:val="0A1A45"/>
          <w:sz w:val="23"/>
          <w:szCs w:val="23"/>
        </w:rPr>
        <w:t xml:space="preserve">2. 5S w pigułce</w:t>
      </w:r>
      <w:r>
        <w:rPr>
          <w:rFonts w:ascii="Arial" w:cs="Arial" w:eastAsia="Arial" w:hAnsi="Arial"/>
          <w:color w:val="5B6475"/>
          <w:sz w:val="23"/>
          <w:szCs w:val="23"/>
        </w:rPr>
        <w:t xml:space="preserve">	4</w:t>
      </w:r>
    </w:p>
    <w:p>
      <w:pPr>
        <w:tabs>
          <w:tab w:val="right" w:pos="9638" w:leader="dot"/>
        </w:tabs>
        <w:spacing w:after="150"/>
      </w:pPr>
      <w:r>
        <w:rPr>
          <w:rFonts w:ascii="Arial" w:cs="Arial" w:eastAsia="Arial" w:hAnsi="Arial"/>
          <w:b/>
          <w:bCs/>
          <w:color w:val="0A1A45"/>
          <w:sz w:val="23"/>
          <w:szCs w:val="23"/>
        </w:rPr>
        <w:t xml:space="preserve">3. Przygotowanie wdrożenia</w:t>
      </w:r>
      <w:r>
        <w:rPr>
          <w:rFonts w:ascii="Arial" w:cs="Arial" w:eastAsia="Arial" w:hAnsi="Arial"/>
          <w:color w:val="5B6475"/>
          <w:sz w:val="23"/>
          <w:szCs w:val="23"/>
        </w:rPr>
        <w:t xml:space="preserve">	5</w:t>
      </w:r>
    </w:p>
    <w:p>
      <w:pPr>
        <w:tabs>
          <w:tab w:val="right" w:pos="9638" w:leader="dot"/>
        </w:tabs>
        <w:spacing w:after="150"/>
      </w:pPr>
      <w:r>
        <w:rPr>
          <w:rFonts w:ascii="Arial" w:cs="Arial" w:eastAsia="Arial" w:hAnsi="Arial"/>
          <w:b/>
          <w:bCs/>
          <w:color w:val="0A1A45"/>
          <w:sz w:val="23"/>
          <w:szCs w:val="23"/>
        </w:rPr>
        <w:t xml:space="preserve">4. Wdrożenie krok po kroku</w:t>
      </w:r>
      <w:r>
        <w:rPr>
          <w:rFonts w:ascii="Arial" w:cs="Arial" w:eastAsia="Arial" w:hAnsi="Arial"/>
          <w:color w:val="5B6475"/>
          <w:sz w:val="23"/>
          <w:szCs w:val="23"/>
        </w:rPr>
        <w:t xml:space="preserve">	7</w:t>
      </w:r>
    </w:p>
    <w:p>
      <w:pPr>
        <w:tabs>
          <w:tab w:val="right" w:pos="9638" w:leader="dot"/>
        </w:tabs>
        <w:spacing w:after="150"/>
      </w:pPr>
      <w:r>
        <w:rPr>
          <w:rFonts w:ascii="Arial" w:cs="Arial" w:eastAsia="Arial" w:hAnsi="Arial"/>
          <w:b/>
          <w:bCs/>
          <w:color w:val="0A1A45"/>
          <w:sz w:val="23"/>
          <w:szCs w:val="23"/>
        </w:rPr>
        <w:t xml:space="preserve">5. Plan 30 / 60 / 90 dni</w:t>
      </w:r>
      <w:r>
        <w:rPr>
          <w:rFonts w:ascii="Arial" w:cs="Arial" w:eastAsia="Arial" w:hAnsi="Arial"/>
          <w:color w:val="5B6475"/>
          <w:sz w:val="23"/>
          <w:szCs w:val="23"/>
        </w:rPr>
        <w:t xml:space="preserve">	13</w:t>
      </w:r>
    </w:p>
    <w:p>
      <w:pPr>
        <w:tabs>
          <w:tab w:val="right" w:pos="9638" w:leader="dot"/>
        </w:tabs>
        <w:spacing w:after="150"/>
      </w:pPr>
      <w:r>
        <w:rPr>
          <w:rFonts w:ascii="Arial" w:cs="Arial" w:eastAsia="Arial" w:hAnsi="Arial"/>
          <w:b/>
          <w:bCs/>
          <w:color w:val="0A1A45"/>
          <w:sz w:val="23"/>
          <w:szCs w:val="23"/>
        </w:rPr>
        <w:t xml:space="preserve">6. Audyt 5S</w:t>
      </w:r>
      <w:r>
        <w:rPr>
          <w:rFonts w:ascii="Arial" w:cs="Arial" w:eastAsia="Arial" w:hAnsi="Arial"/>
          <w:color w:val="5B6475"/>
          <w:sz w:val="23"/>
          <w:szCs w:val="23"/>
        </w:rPr>
        <w:t xml:space="preserve">	15</w:t>
      </w:r>
    </w:p>
    <w:p>
      <w:pPr>
        <w:tabs>
          <w:tab w:val="right" w:pos="9638" w:leader="dot"/>
        </w:tabs>
        <w:spacing w:after="150"/>
      </w:pPr>
      <w:r>
        <w:rPr>
          <w:rFonts w:ascii="Arial" w:cs="Arial" w:eastAsia="Arial" w:hAnsi="Arial"/>
          <w:b/>
          <w:bCs/>
          <w:color w:val="0A1A45"/>
          <w:sz w:val="23"/>
          <w:szCs w:val="23"/>
        </w:rPr>
        <w:t xml:space="preserve">7. Po audycie: działania i przegląd</w:t>
      </w:r>
      <w:r>
        <w:rPr>
          <w:rFonts w:ascii="Arial" w:cs="Arial" w:eastAsia="Arial" w:hAnsi="Arial"/>
          <w:color w:val="5B6475"/>
          <w:sz w:val="23"/>
          <w:szCs w:val="23"/>
        </w:rPr>
        <w:t xml:space="preserve">	18</w:t>
      </w:r>
    </w:p>
    <w:p>
      <w:pPr>
        <w:tabs>
          <w:tab w:val="right" w:pos="9638" w:leader="dot"/>
        </w:tabs>
        <w:spacing w:after="150"/>
      </w:pPr>
      <w:r>
        <w:rPr>
          <w:rFonts w:ascii="Arial" w:cs="Arial" w:eastAsia="Arial" w:hAnsi="Arial"/>
          <w:b/>
          <w:bCs/>
          <w:color w:val="0A1A45"/>
          <w:sz w:val="23"/>
          <w:szCs w:val="23"/>
        </w:rPr>
        <w:t xml:space="preserve">8. Utrzymanie standardu</w:t>
      </w:r>
      <w:r>
        <w:rPr>
          <w:rFonts w:ascii="Arial" w:cs="Arial" w:eastAsia="Arial" w:hAnsi="Arial"/>
          <w:color w:val="5B6475"/>
          <w:sz w:val="23"/>
          <w:szCs w:val="23"/>
        </w:rPr>
        <w:t xml:space="preserve">	19</w:t>
      </w:r>
    </w:p>
    <w:p>
      <w:pPr>
        <w:tabs>
          <w:tab w:val="right" w:pos="9638" w:leader="dot"/>
        </w:tabs>
        <w:spacing w:after="150"/>
      </w:pPr>
      <w:r>
        <w:rPr>
          <w:rFonts w:ascii="Arial" w:cs="Arial" w:eastAsia="Arial" w:hAnsi="Arial"/>
          <w:b/>
          <w:bCs/>
          <w:color w:val="0A1A45"/>
          <w:sz w:val="23"/>
          <w:szCs w:val="23"/>
        </w:rPr>
        <w:t xml:space="preserve">9. Najczęstsze błędy i jak je naprawić</w:t>
      </w:r>
      <w:r>
        <w:rPr>
          <w:rFonts w:ascii="Arial" w:cs="Arial" w:eastAsia="Arial" w:hAnsi="Arial"/>
          <w:color w:val="5B6475"/>
          <w:sz w:val="23"/>
          <w:szCs w:val="23"/>
        </w:rPr>
        <w:t xml:space="preserve">	20</w:t>
      </w:r>
    </w:p>
    <w:p>
      <w:pPr>
        <w:tabs>
          <w:tab w:val="right" w:pos="9638" w:leader="dot"/>
        </w:tabs>
        <w:spacing w:after="150"/>
      </w:pPr>
      <w:r>
        <w:rPr>
          <w:rFonts w:ascii="Arial" w:cs="Arial" w:eastAsia="Arial" w:hAnsi="Arial"/>
          <w:b/>
          <w:bCs/>
          <w:color w:val="0A1A45"/>
          <w:sz w:val="23"/>
          <w:szCs w:val="23"/>
        </w:rPr>
        <w:t xml:space="preserve">10. Pytania i odpowiedzi</w:t>
      </w:r>
      <w:r>
        <w:rPr>
          <w:rFonts w:ascii="Arial" w:cs="Arial" w:eastAsia="Arial" w:hAnsi="Arial"/>
          <w:color w:val="5B6475"/>
          <w:sz w:val="23"/>
          <w:szCs w:val="23"/>
        </w:rPr>
        <w:t xml:space="preserve">	21</w:t>
      </w:r>
    </w:p>
    <w:p>
      <w:pPr>
        <w:tabs>
          <w:tab w:val="right" w:pos="9638" w:leader="dot"/>
        </w:tabs>
        <w:spacing w:after="150"/>
      </w:pPr>
      <w:r>
        <w:rPr>
          <w:rFonts w:ascii="Arial" w:cs="Arial" w:eastAsia="Arial" w:hAnsi="Arial"/>
          <w:b/>
          <w:bCs/>
          <w:color w:val="0A1A45"/>
          <w:sz w:val="23"/>
          <w:szCs w:val="23"/>
        </w:rPr>
        <w:t xml:space="preserve">Załączniki</w:t>
      </w:r>
      <w:r>
        <w:rPr>
          <w:rFonts w:ascii="Arial" w:cs="Arial" w:eastAsia="Arial" w:hAnsi="Arial"/>
          <w:color w:val="5B6475"/>
          <w:sz w:val="23"/>
          <w:szCs w:val="23"/>
        </w:rPr>
        <w:t xml:space="preserve">	22</w:t>
      </w:r>
    </w:p>
    <w:p>
      <w:pPr>
        <w:keepNext w:val="false"/>
        <w:spacing w:after="3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1F4FD8" w:sz="24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110"/>
              <w:left w:type="dxa" w:w="200"/>
              <w:bottom w:type="dxa" w:w="90"/>
              <w:right w:type="dxa" w:w="160"/>
            </w:tcMar>
          </w:tcPr>
          <w:p>
            <w:pPr>
              <w:keepNext/>
              <w:spacing w:after="60"/>
            </w:pPr>
            <w:r>
              <w:rPr>
                <w:rFonts w:ascii="Arial" w:cs="Arial" w:eastAsia="Arial" w:hAnsi="Arial"/>
                <w:b/>
                <w:bCs/>
                <w:color w:val="1F4FD8"/>
                <w:sz w:val="21"/>
                <w:szCs w:val="21"/>
              </w:rPr>
              <w:t xml:space="preserve">Jak czytać ten przewodnik</w:t>
            </w:r>
          </w:p>
          <w:p>
            <w:pPr>
              <w:spacing w:after="60" w:line="264"/>
            </w:pPr>
            <w:r>
              <w:rPr>
                <w:rFonts w:ascii="Arial" w:cs="Arial" w:eastAsia="Arial" w:hAnsi="Arial"/>
                <w:b/>
                <w:bCs/>
                <w:color w:val="1B2233"/>
                <w:sz w:val="20"/>
                <w:szCs w:val="20"/>
              </w:rPr>
              <w:t xml:space="preserve">Wdrażasz 5S po raz pierwszy?</w:t>
            </w:r>
            <w:r>
              <w:rPr>
                <w:rFonts w:ascii="Arial" w:cs="Arial" w:eastAsia="Arial" w:hAnsi="Arial"/>
                <w:color w:val="1B2233"/>
                <w:sz w:val="20"/>
                <w:szCs w:val="20"/>
              </w:rPr>
              <w:t xml:space="preserve"> Przeczytaj rozdziały 1–5 po kolei, a potem zacznij od akcji pilotażowej w jednym obszarze.</w:t>
            </w:r>
          </w:p>
          <w:p>
            <w:pPr>
              <w:spacing w:after="60" w:line="264"/>
            </w:pPr>
            <w:r>
              <w:rPr>
                <w:rFonts w:ascii="Arial" w:cs="Arial" w:eastAsia="Arial" w:hAnsi="Arial"/>
                <w:b/>
                <w:bCs/>
                <w:color w:val="1B2233"/>
                <w:sz w:val="20"/>
                <w:szCs w:val="20"/>
              </w:rPr>
              <w:t xml:space="preserve">5S już macie, ale nie działa?</w:t>
            </w:r>
            <w:r>
              <w:rPr>
                <w:rFonts w:ascii="Arial" w:cs="Arial" w:eastAsia="Arial" w:hAnsi="Arial"/>
                <w:color w:val="1B2233"/>
                <w:sz w:val="20"/>
                <w:szCs w:val="20"/>
              </w:rPr>
              <w:t xml:space="preserve"> Przejdź od razu do rozdziałów 6–9: audyt, domykanie działań i diagnoza typowych problemów.</w:t>
            </w:r>
          </w:p>
          <w:p>
            <w:pPr>
              <w:spacing w:after="60" w:line="264"/>
            </w:pPr>
            <w:r>
              <w:rPr>
                <w:rFonts w:ascii="Arial" w:cs="Arial" w:eastAsia="Arial" w:hAnsi="Arial"/>
                <w:b/>
                <w:bCs/>
                <w:color w:val="1B2233"/>
                <w:sz w:val="20"/>
                <w:szCs w:val="20"/>
              </w:rPr>
              <w:t xml:space="preserve">Prowadzisz audyty?</w:t>
            </w:r>
            <w:r>
              <w:rPr>
                <w:rFonts w:ascii="Arial" w:cs="Arial" w:eastAsia="Arial" w:hAnsi="Arial"/>
                <w:color w:val="1B2233"/>
                <w:sz w:val="20"/>
                <w:szCs w:val="20"/>
              </w:rPr>
              <w:t xml:space="preserve"> Rozdział 6 i plik Excel „5S_Zestaw_audytowy.xlsx” to Twoje główne narzędzia.</w:t>
            </w:r>
          </w:p>
        </w:tc>
      </w:tr>
    </w:tbl>
    <w:p>
      <w:pPr>
        <w:pStyle w:val="Heading1"/>
        <w:keepNext/>
        <w:pageBreakBefore/>
        <w:pBdr>
          <w:bottom w:val="single" w:color="1F4FD8" w:sz="12" w:space="6"/>
        </w:pBdr>
        <w:spacing w:after="200" w:before="0"/>
      </w:pPr>
      <w:r>
        <w:rPr>
          <w:rFonts w:ascii="Arial" w:cs="Arial" w:eastAsia="Arial" w:hAnsi="Arial"/>
          <w:b/>
          <w:bCs/>
          <w:color w:val="0A1A45"/>
          <w:sz w:val="34"/>
          <w:szCs w:val="34"/>
        </w:rPr>
        <w:t xml:space="preserve">1. Jak korzystać z zestawu</w:t>
      </w:r>
    </w:p>
    <w:p>
      <w:pPr>
        <w:spacing w:after="120" w:before="0" w:line="276"/>
        <w:jc w:val="left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Zestaw składa się z kilku plików, które pracują razem. Każdy ma jedno zadanie, a dane przepływają między nimi automatycznie.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4538"/>
        <w:gridCol w:w="2600"/>
      </w:tblGrid>
      <w:tr>
        <w:trPr>
          <w:cantSplit/>
          <w:tblHeader/>
        </w:trPr>
        <w:tc>
          <w:tcPr>
            <w:tcW w:type="dxa" w:w="25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0A1A45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Plik</w:t>
            </w:r>
          </w:p>
        </w:tc>
        <w:tc>
          <w:tcPr>
            <w:tcW w:type="dxa" w:w="45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0A1A45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Do czego służy</w:t>
            </w:r>
          </w:p>
        </w:tc>
        <w:tc>
          <w:tcPr>
            <w:tcW w:type="dxa" w:w="26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0A1A45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Kiedy go używasz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1B2233"/>
                <w:sz w:val="19"/>
                <w:szCs w:val="19"/>
              </w:rPr>
              <w:t xml:space="preserve">Przewodnik (ten dokument)</w:t>
            </w:r>
          </w:p>
        </w:tc>
        <w:tc>
          <w:tcPr>
            <w:tcW w:type="dxa" w:w="45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Metoda: jak wdrożyć, jak audytować i jak utrzymać 5S.</w:t>
            </w:r>
          </w:p>
        </w:tc>
        <w:tc>
          <w:tcPr>
            <w:tcW w:type="dxa" w:w="26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Przed startem i jako ściąga w trakcie.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1B2233"/>
                <w:sz w:val="19"/>
                <w:szCs w:val="19"/>
              </w:rPr>
              <w:t xml:space="preserve">5S_Zestaw_audytowy.xlsx</w:t>
            </w:r>
          </w:p>
        </w:tc>
        <w:tc>
          <w:tcPr>
            <w:tcW w:type="dxa" w:w="45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Karta ocen (40 pytań, skala 0–4), panel wyników, plan działań, rejestr czerwonych tagów, harmonogram audytów i plan 30/60/90 dni.</w:t>
            </w:r>
          </w:p>
        </w:tc>
        <w:tc>
          <w:tcPr>
            <w:tcW w:type="dxa" w:w="26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Codziennie w trakcie wdrożenia, na każdym audycie.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1B2233"/>
                <w:sz w:val="19"/>
                <w:szCs w:val="19"/>
              </w:rPr>
              <w:t xml:space="preserve">5S_Zestaw_audytowy_PRZYKLAD.xlsx</w:t>
            </w:r>
          </w:p>
        </w:tc>
        <w:tc>
          <w:tcPr>
            <w:tcW w:type="dxa" w:w="45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Ten sam plik wypełniony danymi demonstracyjnymi. Zobaczysz, jak wygląda efekt.</w:t>
            </w:r>
          </w:p>
        </w:tc>
        <w:tc>
          <w:tcPr>
            <w:tcW w:type="dxa" w:w="26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Na początek, żeby zrozumieć logikę.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1B2233"/>
                <w:sz w:val="19"/>
                <w:szCs w:val="19"/>
              </w:rPr>
              <w:t xml:space="preserve">5S_Formularze_A4.pdf</w:t>
            </w:r>
          </w:p>
        </w:tc>
        <w:tc>
          <w:tcPr>
            <w:tcW w:type="dxa" w:w="45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Formularz audytu, karta czerwonego tagu, lista kontrolna 5 minut, plan działań, zapis spotkania.</w:t>
            </w:r>
          </w:p>
        </w:tc>
        <w:tc>
          <w:tcPr>
            <w:tcW w:type="dxa" w:w="26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Do wydruku i pracy na hali.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1B2233"/>
                <w:sz w:val="19"/>
                <w:szCs w:val="19"/>
              </w:rPr>
              <w:t xml:space="preserve">5S_Formularze_A3.pdf</w:t>
            </w:r>
          </w:p>
        </w:tc>
        <w:tc>
          <w:tcPr>
            <w:tcW w:type="dxa" w:w="45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Karta standardu „przed / po”, tablica wyników 5S, plan sprzątania.</w:t>
            </w:r>
          </w:p>
        </w:tc>
        <w:tc>
          <w:tcPr>
            <w:tcW w:type="dxa" w:w="26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Do wydruku na tablicę w obszarze.</w:t>
            </w:r>
          </w:p>
        </w:tc>
      </w:tr>
    </w:tbl>
    <w:p>
      <w:pPr>
        <w:pStyle w:val="Heading2"/>
        <w:keepNext/>
        <w:spacing w:after="120" w:before="280"/>
      </w:pPr>
      <w:r>
        <w:rPr>
          <w:rFonts w:ascii="Arial" w:cs="Arial" w:eastAsia="Arial" w:hAnsi="Arial"/>
          <w:b/>
          <w:bCs/>
          <w:color w:val="1F4FD8"/>
          <w:sz w:val="26"/>
          <w:szCs w:val="26"/>
        </w:rPr>
        <w:t xml:space="preserve">Ścieżka pracy w sześciu krokach</w:t>
      </w:r>
    </w:p>
    <w:p>
      <w:pPr>
        <w:pStyle w:val="ListParagraph"/>
        <w:numPr>
          <w:ilvl w:val="0"/>
          <w:numId w:val="2"/>
        </w:numPr>
        <w:spacing w:after="80" w:line="270"/>
      </w:pPr>
      <w:r>
        <w:rPr>
          <w:rFonts w:ascii="Arial" w:cs="Arial" w:eastAsia="Arial" w:hAnsi="Arial"/>
          <w:b/>
          <w:bCs/>
          <w:color w:val="1B2233"/>
          <w:sz w:val="21"/>
          <w:szCs w:val="21"/>
        </w:rPr>
        <w:t xml:space="preserve">Ustawienia.</w:t>
      </w:r>
      <w:r>
        <w:rPr>
          <w:rFonts w:ascii="Arial" w:cs="Arial" w:eastAsia="Arial" w:hAnsi="Arial"/>
          <w:color w:val="1B2233"/>
          <w:sz w:val="21"/>
          <w:szCs w:val="21"/>
        </w:rPr>
        <w:t xml:space="preserve"> W Excelu wpisz nazwę firmy, listę obszarów i audytorów. Domyślny cel to 80% (zmienisz go w zakładce „Ustawienia”).</w:t>
      </w:r>
    </w:p>
    <w:p>
      <w:pPr>
        <w:pStyle w:val="ListParagraph"/>
        <w:numPr>
          <w:ilvl w:val="0"/>
          <w:numId w:val="2"/>
        </w:numPr>
        <w:spacing w:after="80" w:line="270"/>
      </w:pPr>
      <w:r>
        <w:rPr>
          <w:rFonts w:ascii="Arial" w:cs="Arial" w:eastAsia="Arial" w:hAnsi="Arial"/>
          <w:b/>
          <w:bCs/>
          <w:color w:val="1B2233"/>
          <w:sz w:val="21"/>
          <w:szCs w:val="21"/>
        </w:rPr>
        <w:t xml:space="preserve">Plan wdrożenia.</w:t>
      </w:r>
      <w:r>
        <w:rPr>
          <w:rFonts w:ascii="Arial" w:cs="Arial" w:eastAsia="Arial" w:hAnsi="Arial"/>
          <w:color w:val="1B2233"/>
          <w:sz w:val="21"/>
          <w:szCs w:val="21"/>
        </w:rPr>
        <w:t xml:space="preserve"> W zakładce „Wdrożenie_90_dni” przypisz odpowiedzialnych i terminy.</w:t>
      </w:r>
    </w:p>
    <w:p>
      <w:pPr>
        <w:pStyle w:val="ListParagraph"/>
        <w:numPr>
          <w:ilvl w:val="0"/>
          <w:numId w:val="2"/>
        </w:numPr>
        <w:spacing w:after="80" w:line="270"/>
      </w:pPr>
      <w:r>
        <w:rPr>
          <w:rFonts w:ascii="Arial" w:cs="Arial" w:eastAsia="Arial" w:hAnsi="Arial"/>
          <w:b/>
          <w:bCs/>
          <w:color w:val="1B2233"/>
          <w:sz w:val="21"/>
          <w:szCs w:val="21"/>
        </w:rPr>
        <w:t xml:space="preserve">Audyt zerowy.</w:t>
      </w:r>
      <w:r>
        <w:rPr>
          <w:rFonts w:ascii="Arial" w:cs="Arial" w:eastAsia="Arial" w:hAnsi="Arial"/>
          <w:color w:val="1B2233"/>
          <w:sz w:val="21"/>
          <w:szCs w:val="21"/>
        </w:rPr>
        <w:t xml:space="preserve"> Zanim cokolwiek zmienisz, wykonaj pełny audyt i zrób zdjęcia. To punkt odniesienia dla wszystkich późniejszych wyników.</w:t>
      </w:r>
    </w:p>
    <w:p>
      <w:pPr>
        <w:pStyle w:val="ListParagraph"/>
        <w:numPr>
          <w:ilvl w:val="0"/>
          <w:numId w:val="2"/>
        </w:numPr>
        <w:spacing w:after="80" w:line="270"/>
      </w:pPr>
      <w:r>
        <w:rPr>
          <w:rFonts w:ascii="Arial" w:cs="Arial" w:eastAsia="Arial" w:hAnsi="Arial"/>
          <w:b/>
          <w:bCs/>
          <w:color w:val="1B2233"/>
          <w:sz w:val="21"/>
          <w:szCs w:val="21"/>
        </w:rPr>
        <w:t xml:space="preserve">Akcje 1S–3S</w:t>
      </w:r>
      <w:r>
        <w:rPr>
          <w:rFonts w:ascii="Arial" w:cs="Arial" w:eastAsia="Arial" w:hAnsi="Arial"/>
          <w:color w:val="1B2233"/>
          <w:sz w:val="21"/>
          <w:szCs w:val="21"/>
        </w:rPr>
        <w:t xml:space="preserve"> w obszarze pilotażowym. Czerwone tagi rejestruj w zakładce „Czerwone_tagi”.</w:t>
      </w:r>
    </w:p>
    <w:p>
      <w:pPr>
        <w:pStyle w:val="ListParagraph"/>
        <w:numPr>
          <w:ilvl w:val="0"/>
          <w:numId w:val="2"/>
        </w:numPr>
        <w:spacing w:after="80" w:line="270"/>
      </w:pPr>
      <w:r>
        <w:rPr>
          <w:rFonts w:ascii="Arial" w:cs="Arial" w:eastAsia="Arial" w:hAnsi="Arial"/>
          <w:b/>
          <w:bCs/>
          <w:color w:val="1B2233"/>
          <w:sz w:val="21"/>
          <w:szCs w:val="21"/>
        </w:rPr>
        <w:t xml:space="preserve">Standard i rytm</w:t>
      </w:r>
      <w:r>
        <w:rPr>
          <w:rFonts w:ascii="Arial" w:cs="Arial" w:eastAsia="Arial" w:hAnsi="Arial"/>
          <w:color w:val="1B2233"/>
          <w:sz w:val="21"/>
          <w:szCs w:val="21"/>
        </w:rPr>
        <w:t xml:space="preserve"> (4S, 5S). Wywieś tablicę, wprowadź 5-minutową kontrolę, ustal harmonogram audytów.</w:t>
      </w:r>
    </w:p>
    <w:p>
      <w:pPr>
        <w:pStyle w:val="ListParagraph"/>
        <w:numPr>
          <w:ilvl w:val="0"/>
          <w:numId w:val="2"/>
        </w:numPr>
        <w:spacing w:after="80" w:line="270"/>
      </w:pPr>
      <w:r>
        <w:rPr>
          <w:rFonts w:ascii="Arial" w:cs="Arial" w:eastAsia="Arial" w:hAnsi="Arial"/>
          <w:b/>
          <w:bCs/>
          <w:color w:val="1B2233"/>
          <w:sz w:val="21"/>
          <w:szCs w:val="21"/>
        </w:rPr>
        <w:t xml:space="preserve">Przegląd co miesiąc.</w:t>
      </w:r>
      <w:r>
        <w:rPr>
          <w:rFonts w:ascii="Arial" w:cs="Arial" w:eastAsia="Arial" w:hAnsi="Arial"/>
          <w:color w:val="1B2233"/>
          <w:sz w:val="21"/>
          <w:szCs w:val="21"/>
        </w:rPr>
        <w:t xml:space="preserve"> Panel „Dashboard” pokazuje trend, profil 5S i ranking obszarów. Zaległe działania widać w „Planie działań”.</w:t>
      </w:r>
    </w:p>
    <w:p>
      <w:pPr>
        <w:keepNext w:val="false"/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1F4FD8" w:sz="24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110"/>
              <w:left w:type="dxa" w:w="200"/>
              <w:bottom w:type="dxa" w:w="90"/>
              <w:right w:type="dxa" w:w="160"/>
            </w:tcMar>
          </w:tcPr>
          <w:p>
            <w:pPr>
              <w:keepNext/>
              <w:spacing w:after="60"/>
            </w:pPr>
            <w:r>
              <w:rPr>
                <w:rFonts w:ascii="Arial" w:cs="Arial" w:eastAsia="Arial" w:hAnsi="Arial"/>
                <w:b/>
                <w:bCs/>
                <w:color w:val="1F4FD8"/>
                <w:sz w:val="21"/>
                <w:szCs w:val="21"/>
              </w:rPr>
              <w:t xml:space="preserve">Dla kogo jest ten zestaw</w:t>
            </w:r>
          </w:p>
          <w:p>
            <w:pPr>
              <w:spacing w:after="60" w:line="264"/>
            </w:pPr>
            <w:r>
              <w:rPr>
                <w:rFonts w:ascii="Arial" w:cs="Arial" w:eastAsia="Arial" w:hAnsi="Arial"/>
                <w:color w:val="1B2233"/>
                <w:sz w:val="20"/>
                <w:szCs w:val="20"/>
              </w:rPr>
              <w:t xml:space="preserve">Dla kierownika produkcji, lidera 5S, inżyniera procesu lub specjalisty ds. ciągłego doskonalenia, który ma poprowadzić 5S w zakładzie produkcyjnym. Wystarczy jedna osoba prowadząca, pod warunkiem że ma poparcie kierownictwa (rozdział 3).</w:t>
            </w:r>
          </w:p>
          <w:p>
            <w:pPr>
              <w:spacing w:after="60" w:line="264"/>
            </w:pPr>
            <w:r>
              <w:rPr>
                <w:rFonts w:ascii="Arial" w:cs="Arial" w:eastAsia="Arial" w:hAnsi="Arial"/>
                <w:color w:val="1B2233"/>
                <w:sz w:val="20"/>
                <w:szCs w:val="20"/>
              </w:rPr>
              <w:t xml:space="preserve">Pytania audytowe są napisane pod halę produkcyjną. Do magazynu lub biura wymagają niewielkiej adaptacji (rozdział 10).</w:t>
            </w:r>
          </w:p>
        </w:tc>
      </w:tr>
    </w:tbl>
    <w:p>
      <w:pPr>
        <w:pStyle w:val="Heading1"/>
        <w:keepNext/>
        <w:pageBreakBefore/>
        <w:pBdr>
          <w:bottom w:val="single" w:color="1F4FD8" w:sz="12" w:space="6"/>
        </w:pBdr>
        <w:spacing w:after="200" w:before="0"/>
      </w:pPr>
      <w:r>
        <w:rPr>
          <w:rFonts w:ascii="Arial" w:cs="Arial" w:eastAsia="Arial" w:hAnsi="Arial"/>
          <w:b/>
          <w:bCs/>
          <w:color w:val="0A1A45"/>
          <w:sz w:val="34"/>
          <w:szCs w:val="34"/>
        </w:rPr>
        <w:t xml:space="preserve">2. 5S w pigułce</w:t>
      </w:r>
    </w:p>
    <w:p>
      <w:pPr>
        <w:spacing w:after="120" w:before="0" w:line="276"/>
        <w:jc w:val="left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5S to system utrzymania porządku i standardu miejsca pracy. Nazwa pochodzi od pięciu japońskich słów zaczynających się na literę S. W polskich zakładach przyjęły się nazwy, których używamy w całym zestawie.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1800"/>
        <w:gridCol w:w="1500"/>
        <w:gridCol w:w="5538"/>
      </w:tblGrid>
      <w:tr>
        <w:trPr>
          <w:cantSplit/>
          <w:tblHeader/>
        </w:trPr>
        <w:tc>
          <w:tcPr>
            <w:tcW w:type="dxa" w:w="8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0A1A45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</w:p>
        </w:tc>
        <w:tc>
          <w:tcPr>
            <w:tcW w:type="dxa" w:w="18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0A1A45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Nazwa</w:t>
            </w:r>
          </w:p>
        </w:tc>
        <w:tc>
          <w:tcPr>
            <w:tcW w:type="dxa" w:w="15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0A1A45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Japońskie</w:t>
            </w:r>
          </w:p>
        </w:tc>
        <w:tc>
          <w:tcPr>
            <w:tcW w:type="dxa" w:w="55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0A1A45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Co to znaczy w praktyce</w:t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1B2233"/>
                <w:sz w:val="19"/>
                <w:szCs w:val="19"/>
              </w:rPr>
              <w:t xml:space="preserve">1S</w:t>
            </w:r>
          </w:p>
        </w:tc>
        <w:tc>
          <w:tcPr>
            <w:tcW w:type="dxa" w:w="18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2233"/>
                <w:sz w:val="19"/>
                <w:szCs w:val="19"/>
              </w:rPr>
              <w:t xml:space="preserve">Sortowanie</w:t>
            </w:r>
          </w:p>
        </w:tc>
        <w:tc>
          <w:tcPr>
            <w:tcW w:type="dxa" w:w="15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2233"/>
                <w:sz w:val="19"/>
                <w:szCs w:val="19"/>
              </w:rPr>
              <w:t xml:space="preserve">Seiri</w:t>
            </w:r>
          </w:p>
        </w:tc>
        <w:tc>
          <w:tcPr>
            <w:tcW w:type="dxa" w:w="55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2233"/>
                <w:sz w:val="19"/>
                <w:szCs w:val="19"/>
              </w:rPr>
              <w:t xml:space="preserve">Zostaje tylko to, co potrzebne. Reszta dostaje decyzję.</w:t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1B2233"/>
                <w:sz w:val="19"/>
                <w:szCs w:val="19"/>
              </w:rPr>
              <w:t xml:space="preserve">2S</w:t>
            </w:r>
          </w:p>
        </w:tc>
        <w:tc>
          <w:tcPr>
            <w:tcW w:type="dxa" w:w="18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2233"/>
                <w:sz w:val="19"/>
                <w:szCs w:val="19"/>
              </w:rPr>
              <w:t xml:space="preserve">Systematyka</w:t>
            </w:r>
          </w:p>
        </w:tc>
        <w:tc>
          <w:tcPr>
            <w:tcW w:type="dxa" w:w="15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2233"/>
                <w:sz w:val="19"/>
                <w:szCs w:val="19"/>
              </w:rPr>
              <w:t xml:space="preserve">Seiton</w:t>
            </w:r>
          </w:p>
        </w:tc>
        <w:tc>
          <w:tcPr>
            <w:tcW w:type="dxa" w:w="55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2233"/>
                <w:sz w:val="19"/>
                <w:szCs w:val="19"/>
              </w:rPr>
              <w:t xml:space="preserve">Każda rzecz ma stałe, oznaczone miejsce. Brak lub nadmiar widać od razu.</w:t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1B2233"/>
                <w:sz w:val="19"/>
                <w:szCs w:val="19"/>
              </w:rPr>
              <w:t xml:space="preserve">3S</w:t>
            </w:r>
          </w:p>
        </w:tc>
        <w:tc>
          <w:tcPr>
            <w:tcW w:type="dxa" w:w="18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2233"/>
                <w:sz w:val="19"/>
                <w:szCs w:val="19"/>
              </w:rPr>
              <w:t xml:space="preserve">Sprzątanie</w:t>
            </w:r>
          </w:p>
        </w:tc>
        <w:tc>
          <w:tcPr>
            <w:tcW w:type="dxa" w:w="15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2233"/>
                <w:sz w:val="19"/>
                <w:szCs w:val="19"/>
              </w:rPr>
              <w:t xml:space="preserve">Seiso</w:t>
            </w:r>
          </w:p>
        </w:tc>
        <w:tc>
          <w:tcPr>
            <w:tcW w:type="dxa" w:w="55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2233"/>
                <w:sz w:val="19"/>
                <w:szCs w:val="19"/>
              </w:rPr>
              <w:t xml:space="preserve">Czystość połączona z inspekcją. Szukamy i usuwamy źródła brudu.</w:t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1B2233"/>
                <w:sz w:val="19"/>
                <w:szCs w:val="19"/>
              </w:rPr>
              <w:t xml:space="preserve">4S</w:t>
            </w:r>
          </w:p>
        </w:tc>
        <w:tc>
          <w:tcPr>
            <w:tcW w:type="dxa" w:w="18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2233"/>
                <w:sz w:val="19"/>
                <w:szCs w:val="19"/>
              </w:rPr>
              <w:t xml:space="preserve">Standaryzacja</w:t>
            </w:r>
          </w:p>
        </w:tc>
        <w:tc>
          <w:tcPr>
            <w:tcW w:type="dxa" w:w="15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2233"/>
                <w:sz w:val="19"/>
                <w:szCs w:val="19"/>
              </w:rPr>
              <w:t xml:space="preserve">Seiketsu</w:t>
            </w:r>
          </w:p>
        </w:tc>
        <w:tc>
          <w:tcPr>
            <w:tcW w:type="dxa" w:w="55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2233"/>
                <w:sz w:val="19"/>
                <w:szCs w:val="19"/>
              </w:rPr>
              <w:t xml:space="preserve">Stan docelowy jest opisany i pokazany na zdjęciach, jednakowo w całym zakładzie.</w:t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1B2233"/>
                <w:sz w:val="19"/>
                <w:szCs w:val="19"/>
              </w:rPr>
              <w:t xml:space="preserve">5S</w:t>
            </w:r>
          </w:p>
        </w:tc>
        <w:tc>
          <w:tcPr>
            <w:tcW w:type="dxa" w:w="18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2233"/>
                <w:sz w:val="19"/>
                <w:szCs w:val="19"/>
              </w:rPr>
              <w:t xml:space="preserve">Samodyscyplina</w:t>
            </w:r>
          </w:p>
        </w:tc>
        <w:tc>
          <w:tcPr>
            <w:tcW w:type="dxa" w:w="15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2233"/>
                <w:sz w:val="19"/>
                <w:szCs w:val="19"/>
              </w:rPr>
              <w:t xml:space="preserve">Shitsuke</w:t>
            </w:r>
          </w:p>
        </w:tc>
        <w:tc>
          <w:tcPr>
            <w:tcW w:type="dxa" w:w="55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2233"/>
                <w:sz w:val="19"/>
                <w:szCs w:val="19"/>
              </w:rPr>
              <w:t xml:space="preserve">Utrzymanie standardu jako nawyk zespołu, wspierany przez kierownictwo.</w:t>
            </w:r>
          </w:p>
        </w:tc>
      </w:tr>
    </w:tbl>
    <w:p>
      <w:pPr>
        <w:pStyle w:val="Heading2"/>
        <w:keepNext/>
        <w:spacing w:after="120" w:before="280"/>
      </w:pPr>
      <w:r>
        <w:rPr>
          <w:rFonts w:ascii="Arial" w:cs="Arial" w:eastAsia="Arial" w:hAnsi="Arial"/>
          <w:b/>
          <w:bCs/>
          <w:color w:val="1F4FD8"/>
          <w:sz w:val="26"/>
          <w:szCs w:val="26"/>
        </w:rPr>
        <w:t xml:space="preserve">Czym 5S jest, a czym nie jest</w:t>
      </w:r>
    </w:p>
    <w:p>
      <w:pPr>
        <w:pStyle w:val="ListParagraph"/>
        <w:keepNext w:val="false"/>
        <w:numPr>
          <w:ilvl w:val="0"/>
          <w:numId w:val="3"/>
        </w:numPr>
        <w:spacing w:after="70" w:line="270"/>
      </w:pPr>
      <w:r>
        <w:rPr>
          <w:rFonts w:ascii="Arial" w:cs="Arial" w:eastAsia="Arial" w:hAnsi="Arial"/>
          <w:b/>
          <w:bCs/>
          <w:color w:val="1B2233"/>
          <w:sz w:val="21"/>
          <w:szCs w:val="21"/>
        </w:rPr>
        <w:t xml:space="preserve">Jest</w:t>
      </w:r>
      <w:r>
        <w:rPr>
          <w:rFonts w:ascii="Arial" w:cs="Arial" w:eastAsia="Arial" w:hAnsi="Arial"/>
          <w:color w:val="1B2233"/>
          <w:sz w:val="21"/>
          <w:szCs w:val="21"/>
        </w:rPr>
        <w:t xml:space="preserve"> fundamentem stabilnych procesów. Bez porządku trudno wprowadzić standardową pracę, TPM, kanban czy szybkie przezbrojenia (SMED). Każde z tych narzędzi zakłada, że narzędzia, materiały i informacje są tam, gdzie powinny być.</w:t>
      </w:r>
    </w:p>
    <w:p>
      <w:pPr>
        <w:pStyle w:val="ListParagraph"/>
        <w:keepNext w:val="false"/>
        <w:numPr>
          <w:ilvl w:val="0"/>
          <w:numId w:val="3"/>
        </w:numPr>
        <w:spacing w:after="70" w:line="270"/>
      </w:pPr>
      <w:r>
        <w:rPr>
          <w:rFonts w:ascii="Arial" w:cs="Arial" w:eastAsia="Arial" w:hAnsi="Arial"/>
          <w:b/>
          <w:bCs/>
          <w:color w:val="1B2233"/>
          <w:sz w:val="21"/>
          <w:szCs w:val="21"/>
        </w:rPr>
        <w:t xml:space="preserve">Jest</w:t>
      </w:r>
      <w:r>
        <w:rPr>
          <w:rFonts w:ascii="Arial" w:cs="Arial" w:eastAsia="Arial" w:hAnsi="Arial"/>
          <w:color w:val="1B2233"/>
          <w:sz w:val="21"/>
          <w:szCs w:val="21"/>
        </w:rPr>
        <w:t xml:space="preserve"> sposobem na szybkie wykrywanie odchyleń. Gdy wszystko ma swoje miejsce, brak, nadmiar lub wyciek widać natychmiast.</w:t>
      </w:r>
    </w:p>
    <w:p>
      <w:pPr>
        <w:pStyle w:val="ListParagraph"/>
        <w:keepNext w:val="false"/>
        <w:numPr>
          <w:ilvl w:val="0"/>
          <w:numId w:val="3"/>
        </w:numPr>
        <w:spacing w:after="70" w:line="270"/>
      </w:pPr>
      <w:r>
        <w:rPr>
          <w:rFonts w:ascii="Arial" w:cs="Arial" w:eastAsia="Arial" w:hAnsi="Arial"/>
          <w:b/>
          <w:bCs/>
          <w:color w:val="1B2233"/>
          <w:sz w:val="21"/>
          <w:szCs w:val="21"/>
        </w:rPr>
        <w:t xml:space="preserve">Nie jest</w:t>
      </w:r>
      <w:r>
        <w:rPr>
          <w:rFonts w:ascii="Arial" w:cs="Arial" w:eastAsia="Arial" w:hAnsi="Arial"/>
          <w:color w:val="1B2233"/>
          <w:sz w:val="21"/>
          <w:szCs w:val="21"/>
        </w:rPr>
        <w:t xml:space="preserve"> generalnym sprzątaniem. Sprzątanie przed wizytą klienta daje efekt na tydzień. 5S buduje system, który działa także wtedy, gdy nikt nie patrzy.</w:t>
      </w:r>
    </w:p>
    <w:p>
      <w:pPr>
        <w:pStyle w:val="ListParagraph"/>
        <w:keepNext w:val="false"/>
        <w:numPr>
          <w:ilvl w:val="0"/>
          <w:numId w:val="3"/>
        </w:numPr>
        <w:spacing w:after="70" w:line="270"/>
      </w:pPr>
      <w:r>
        <w:rPr>
          <w:rFonts w:ascii="Arial" w:cs="Arial" w:eastAsia="Arial" w:hAnsi="Arial"/>
          <w:b/>
          <w:bCs/>
          <w:color w:val="1B2233"/>
          <w:sz w:val="21"/>
          <w:szCs w:val="21"/>
        </w:rPr>
        <w:t xml:space="preserve">Nie jest</w:t>
      </w:r>
      <w:r>
        <w:rPr>
          <w:rFonts w:ascii="Arial" w:cs="Arial" w:eastAsia="Arial" w:hAnsi="Arial"/>
          <w:color w:val="1B2233"/>
          <w:sz w:val="21"/>
          <w:szCs w:val="21"/>
        </w:rPr>
        <w:t xml:space="preserve"> jednorazową akcją. Trzy pierwsze S można wykonać w kilka tygodni. Czwarte i piąte decydują, czy efekt przetrwa rok.</w:t>
      </w:r>
    </w:p>
    <w:p>
      <w:pPr>
        <w:pStyle w:val="ListParagraph"/>
        <w:keepNext w:val="false"/>
        <w:numPr>
          <w:ilvl w:val="0"/>
          <w:numId w:val="3"/>
        </w:numPr>
        <w:spacing w:after="70" w:line="270"/>
      </w:pPr>
      <w:r>
        <w:rPr>
          <w:rFonts w:ascii="Arial" w:cs="Arial" w:eastAsia="Arial" w:hAnsi="Arial"/>
          <w:b/>
          <w:bCs/>
          <w:color w:val="1B2233"/>
          <w:sz w:val="21"/>
          <w:szCs w:val="21"/>
        </w:rPr>
        <w:t xml:space="preserve">Nie jest</w:t>
      </w:r>
      <w:r>
        <w:rPr>
          <w:rFonts w:ascii="Arial" w:cs="Arial" w:eastAsia="Arial" w:hAnsi="Arial"/>
          <w:color w:val="1B2233"/>
          <w:sz w:val="21"/>
          <w:szCs w:val="21"/>
        </w:rPr>
        <w:t xml:space="preserve"> narzędziem do karania ludzi. Jeśli audyt służy do szukania winnych, pracownicy zaczną ukrywać problemy, a wyniki przestaną być wiarygodne.</w:t>
      </w:r>
    </w:p>
    <w:p>
      <w:pPr>
        <w:pStyle w:val="Heading2"/>
        <w:keepNext/>
        <w:spacing w:after="120" w:before="280"/>
      </w:pPr>
      <w:r>
        <w:rPr>
          <w:rFonts w:ascii="Arial" w:cs="Arial" w:eastAsia="Arial" w:hAnsi="Arial"/>
          <w:b/>
          <w:bCs/>
          <w:color w:val="1F4FD8"/>
          <w:sz w:val="26"/>
          <w:szCs w:val="26"/>
        </w:rPr>
        <w:t xml:space="preserve">Jakie efekty można realnie zmierzyć</w:t>
      </w:r>
    </w:p>
    <w:p>
      <w:pPr>
        <w:spacing w:after="120" w:before="0" w:line="276"/>
        <w:jc w:val="left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Nie obiecujemy procentów „z podręcznika”, bo zależą od zakładu. Zamiast tego wybierz 2–3 wskaźniki i zmierz je przed wdrożeniem (rozdział 3). Typowe, dobrze mierzalne efekty to:</w:t>
      </w:r>
    </w:p>
    <w:p>
      <w:pPr>
        <w:pStyle w:val="ListParagraph"/>
        <w:keepNext w:val="false"/>
        <w:numPr>
          <w:ilvl w:val="0"/>
          <w:numId w:val="3"/>
        </w:numPr>
        <w:spacing w:after="70" w:line="270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krótszy czas szukania narzędzi, materiałów i dokumentów na stanowisku,</w:t>
      </w:r>
    </w:p>
    <w:p>
      <w:pPr>
        <w:pStyle w:val="ListParagraph"/>
        <w:keepNext w:val="false"/>
        <w:numPr>
          <w:ilvl w:val="0"/>
          <w:numId w:val="3"/>
        </w:numPr>
        <w:spacing w:after="70" w:line="270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mniej zgłoszeń o brakujących lub niewłaściwych narzędziach i etykietach,</w:t>
      </w:r>
    </w:p>
    <w:p>
      <w:pPr>
        <w:pStyle w:val="ListParagraph"/>
        <w:keepNext w:val="false"/>
        <w:numPr>
          <w:ilvl w:val="0"/>
          <w:numId w:val="3"/>
        </w:numPr>
        <w:spacing w:after="70" w:line="270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odzyskana powierzchnia (m² po usunięciu zbędnych przedmiotów),</w:t>
      </w:r>
    </w:p>
    <w:p>
      <w:pPr>
        <w:pStyle w:val="ListParagraph"/>
        <w:keepNext w:val="false"/>
        <w:numPr>
          <w:ilvl w:val="0"/>
          <w:numId w:val="3"/>
        </w:numPr>
        <w:spacing w:after="70" w:line="270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mniej zdarzeń potencjalnie wypadkowych związanych z potknięciami, wyciekami i zastawionymi przejściami,</w:t>
      </w:r>
    </w:p>
    <w:p>
      <w:pPr>
        <w:pStyle w:val="ListParagraph"/>
        <w:keepNext w:val="false"/>
        <w:numPr>
          <w:ilvl w:val="0"/>
          <w:numId w:val="3"/>
        </w:numPr>
        <w:spacing w:after="70" w:line="270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wyższy wynik audytu 5S oraz stabilny trend w kolejnych miesiącach.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C0392B" w:sz="24"/>
              <w:bottom w:val="none" w:color="FFFFFF" w:sz="0"/>
              <w:right w:val="none" w:color="FFFFFF" w:sz="0"/>
            </w:tcBorders>
            <w:shd w:fill="FDF1EF" w:color="auto" w:val="clear"/>
            <w:tcMar>
              <w:top w:type="dxa" w:w="110"/>
              <w:left w:type="dxa" w:w="200"/>
              <w:bottom w:type="dxa" w:w="90"/>
              <w:right w:type="dxa" w:w="160"/>
            </w:tcMar>
          </w:tcPr>
          <w:p>
            <w:pPr>
              <w:keepNext/>
              <w:spacing w:after="60"/>
            </w:pPr>
            <w:r>
              <w:rPr>
                <w:rFonts w:ascii="Arial" w:cs="Arial" w:eastAsia="Arial" w:hAnsi="Arial"/>
                <w:b/>
                <w:bCs/>
                <w:color w:val="C0392B"/>
                <w:sz w:val="21"/>
                <w:szCs w:val="21"/>
              </w:rPr>
              <w:t xml:space="preserve">5S nie zastępuje BHP</w:t>
            </w:r>
          </w:p>
          <w:p>
            <w:pPr>
              <w:spacing w:after="60" w:line="264"/>
            </w:pPr>
            <w:r>
              <w:rPr>
                <w:rFonts w:ascii="Arial" w:cs="Arial" w:eastAsia="Arial" w:hAnsi="Arial"/>
                <w:color w:val="1B2233"/>
                <w:sz w:val="20"/>
                <w:szCs w:val="20"/>
              </w:rPr>
              <w:t xml:space="preserve">Zasady 5S uzupełniają przepisy i procedury bezpieczeństwa, ale ich nie zmieniają. Przy sprzątaniu maszyn, oznaczaniu dróg komunikacyjnych, gospodarce odpadami i pracy z substancjami niebezpiecznymi obowiązują instrukcje zakładu. W razie wątpliwości skonsultuj plan ze służbą BHP.</w:t>
            </w:r>
          </w:p>
        </w:tc>
      </w:tr>
    </w:tbl>
    <w:p>
      <w:pPr>
        <w:pStyle w:val="Heading1"/>
        <w:keepNext/>
        <w:pageBreakBefore/>
        <w:pBdr>
          <w:bottom w:val="single" w:color="1F4FD8" w:sz="12" w:space="6"/>
        </w:pBdr>
        <w:spacing w:after="200" w:before="0"/>
      </w:pPr>
      <w:r>
        <w:rPr>
          <w:rFonts w:ascii="Arial" w:cs="Arial" w:eastAsia="Arial" w:hAnsi="Arial"/>
          <w:b/>
          <w:bCs/>
          <w:color w:val="0A1A45"/>
          <w:sz w:val="34"/>
          <w:szCs w:val="34"/>
        </w:rPr>
        <w:t xml:space="preserve">3. Przygotowanie wdrożenia</w:t>
      </w:r>
    </w:p>
    <w:p>
      <w:pPr>
        <w:spacing w:after="120" w:before="0" w:line="276"/>
        <w:jc w:val="left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Zdecydowana większość nieudanych wdrożeń 5S kończy się nie w czasie akcji, tylko dwa miesiące po niej. Dlatego pierwsze dwa tygodnie poświęć na fundament.</w:t>
      </w:r>
    </w:p>
    <w:p>
      <w:pPr>
        <w:pStyle w:val="Heading2"/>
        <w:keepNext/>
        <w:spacing w:after="120" w:before="280"/>
      </w:pPr>
      <w:r>
        <w:rPr>
          <w:rFonts w:ascii="Arial" w:cs="Arial" w:eastAsia="Arial" w:hAnsi="Arial"/>
          <w:b/>
          <w:bCs/>
          <w:color w:val="1F4FD8"/>
          <w:sz w:val="26"/>
          <w:szCs w:val="26"/>
        </w:rPr>
        <w:t xml:space="preserve">3.1 Sponsor i lider 5S</w:t>
      </w:r>
    </w:p>
    <w:p>
      <w:pPr>
        <w:spacing w:after="120" w:before="0" w:line="276"/>
        <w:jc w:val="left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Potrzebujesz dwóch ról. </w:t>
      </w:r>
      <w:r>
        <w:rPr>
          <w:rFonts w:ascii="Arial" w:cs="Arial" w:eastAsia="Arial" w:hAnsi="Arial"/>
          <w:b/>
          <w:bCs/>
          <w:color w:val="1B2233"/>
          <w:sz w:val="21"/>
          <w:szCs w:val="21"/>
        </w:rPr>
        <w:t xml:space="preserve">Sponsor</w:t>
      </w:r>
      <w:r>
        <w:rPr>
          <w:rFonts w:ascii="Arial" w:cs="Arial" w:eastAsia="Arial" w:hAnsi="Arial"/>
          <w:color w:val="1B2233"/>
          <w:sz w:val="21"/>
          <w:szCs w:val="21"/>
        </w:rPr>
        <w:t xml:space="preserve"> (kierownik zakładu lub produkcji) przyznaje czas, zatwierdza decyzje dotyczące czerwonych tagów i regularnie odwiedza obszary. </w:t>
      </w:r>
      <w:r>
        <w:rPr>
          <w:rFonts w:ascii="Arial" w:cs="Arial" w:eastAsia="Arial" w:hAnsi="Arial"/>
          <w:b/>
          <w:bCs/>
          <w:color w:val="1B2233"/>
          <w:sz w:val="21"/>
          <w:szCs w:val="21"/>
        </w:rPr>
        <w:t xml:space="preserve">Lider 5S</w:t>
      </w:r>
      <w:r>
        <w:rPr>
          <w:rFonts w:ascii="Arial" w:cs="Arial" w:eastAsia="Arial" w:hAnsi="Arial"/>
          <w:color w:val="1B2233"/>
          <w:sz w:val="21"/>
          <w:szCs w:val="21"/>
        </w:rPr>
        <w:t xml:space="preserve"> koordynuje wdrożenie, prowadzi audyty i pilnuje planu działań. Zapisz te role i ustal, ile godzin tygodniowo lider ma na to przeznaczone. Bez zapisanego czasu 5S będzie dodatkiem „po godzinach”.</w:t>
      </w:r>
    </w:p>
    <w:p>
      <w:pPr>
        <w:pStyle w:val="Heading2"/>
        <w:keepNext/>
        <w:spacing w:after="120" w:before="280"/>
      </w:pPr>
      <w:r>
        <w:rPr>
          <w:rFonts w:ascii="Arial" w:cs="Arial" w:eastAsia="Arial" w:hAnsi="Arial"/>
          <w:b/>
          <w:bCs/>
          <w:color w:val="1F4FD8"/>
          <w:sz w:val="26"/>
          <w:szCs w:val="26"/>
        </w:rPr>
        <w:t xml:space="preserve">3.2 Wybór obszaru pilotażowego</w:t>
      </w:r>
    </w:p>
    <w:p>
      <w:pPr>
        <w:spacing w:after="120" w:before="0" w:line="276"/>
        <w:jc w:val="left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Zacznij od jednego obszaru. Sukces pilota jest najlepszym argumentem dla pozostałych. Dobry obszar spełnia większość poniższych kryteriów: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00"/>
        <w:gridCol w:w="5238"/>
      </w:tblGrid>
      <w:tr>
        <w:trPr>
          <w:cantSplit/>
          <w:tblHeader/>
        </w:trPr>
        <w:tc>
          <w:tcPr>
            <w:tcW w:type="dxa" w:w="44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0A1A45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Kryterium</w:t>
            </w:r>
          </w:p>
        </w:tc>
        <w:tc>
          <w:tcPr>
            <w:tcW w:type="dxa" w:w="52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0A1A45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Dlaczego ma znaczenie</w:t>
            </w:r>
          </w:p>
        </w:tc>
      </w:tr>
      <w:tr>
        <w:trPr>
          <w:cantSplit/>
        </w:trPr>
        <w:tc>
          <w:tcPr>
            <w:tcW w:type="dxa" w:w="44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Kierownik zmiany lub brygadzista chce w tym uczestniczyć</w:t>
            </w:r>
          </w:p>
        </w:tc>
        <w:tc>
          <w:tcPr>
            <w:tcW w:type="dxa" w:w="52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Bez lokalnego lidera akcja zamieni się w polecenie z góry.</w:t>
            </w:r>
          </w:p>
        </w:tc>
      </w:tr>
      <w:tr>
        <w:trPr>
          <w:cantSplit/>
        </w:trPr>
        <w:tc>
          <w:tcPr>
            <w:tcW w:type="dxa" w:w="44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Efekt będzie widoczny w ciągu 2–4 tygodni</w:t>
            </w:r>
          </w:p>
        </w:tc>
        <w:tc>
          <w:tcPr>
            <w:tcW w:type="dxa" w:w="52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Zespół musi zobaczyć zmianę, zanim straci motywację.</w:t>
            </w:r>
          </w:p>
        </w:tc>
      </w:tr>
      <w:tr>
        <w:trPr>
          <w:cantSplit/>
        </w:trPr>
        <w:tc>
          <w:tcPr>
            <w:tcW w:type="dxa" w:w="44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Obszar jest reprezentatywny (nie najgorszy i nie wzorcowy)</w:t>
            </w:r>
          </w:p>
        </w:tc>
        <w:tc>
          <w:tcPr>
            <w:tcW w:type="dxa" w:w="52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Wnioski da się przenieść na inne obszary.</w:t>
            </w:r>
          </w:p>
        </w:tc>
      </w:tr>
      <w:tr>
        <w:trPr>
          <w:cantSplit/>
        </w:trPr>
        <w:tc>
          <w:tcPr>
            <w:tcW w:type="dxa" w:w="44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Wielkość mieści się w zasięgu jednej zmiany pracy</w:t>
            </w:r>
          </w:p>
        </w:tc>
        <w:tc>
          <w:tcPr>
            <w:tcW w:type="dxa" w:w="52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Typowo linia, gniazdo lub magazyn podręczny. Duże hale dziel na strefy.</w:t>
            </w:r>
          </w:p>
        </w:tc>
      </w:tr>
      <w:tr>
        <w:trPr>
          <w:cantSplit/>
        </w:trPr>
        <w:tc>
          <w:tcPr>
            <w:tcW w:type="dxa" w:w="44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Znacie wartość straty (czas szukania, przestoje, reklamacje)</w:t>
            </w:r>
          </w:p>
        </w:tc>
        <w:tc>
          <w:tcPr>
            <w:tcW w:type="dxa" w:w="52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Łatwiej pokazać wynik przed i po.</w:t>
            </w:r>
          </w:p>
        </w:tc>
      </w:tr>
    </w:tbl>
    <w:p>
      <w:pPr>
        <w:pStyle w:val="Heading2"/>
        <w:keepNext/>
        <w:spacing w:after="120" w:before="280"/>
      </w:pPr>
      <w:r>
        <w:rPr>
          <w:rFonts w:ascii="Arial" w:cs="Arial" w:eastAsia="Arial" w:hAnsi="Arial"/>
          <w:b/>
          <w:bCs/>
          <w:color w:val="1F4FD8"/>
          <w:sz w:val="26"/>
          <w:szCs w:val="26"/>
        </w:rPr>
        <w:t xml:space="preserve">3.3 Cele i wskaźniki</w:t>
      </w:r>
    </w:p>
    <w:p>
      <w:pPr>
        <w:spacing w:after="120" w:before="0" w:line="276"/>
        <w:jc w:val="left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Zapisz cel w jednym zdaniu, np. „Obszar linii 1 osiąga w ciągu 90 dni wynik audytu co najmniej 80% i utrzymuje go przez trzy kolejne audyty”. Dodaj 2–3 wskaźniki dodatkowe. Przykłady z metodą pomiaru: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00"/>
        <w:gridCol w:w="5738"/>
      </w:tblGrid>
      <w:tr>
        <w:trPr>
          <w:cantSplit/>
          <w:tblHeader/>
        </w:trPr>
        <w:tc>
          <w:tcPr>
            <w:tcW w:type="dxa" w:w="39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0A1A45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Wskaźnik</w:t>
            </w:r>
          </w:p>
        </w:tc>
        <w:tc>
          <w:tcPr>
            <w:tcW w:type="dxa" w:w="57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0A1A45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Jak zmierzyć przed wdrożeniem</w:t>
            </w:r>
          </w:p>
        </w:tc>
      </w:tr>
      <w:tr>
        <w:trPr>
          <w:cantSplit/>
        </w:trPr>
        <w:tc>
          <w:tcPr>
            <w:tcW w:type="dxa" w:w="39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Czas szukania narzędzi lub materiałów</w:t>
            </w:r>
          </w:p>
        </w:tc>
        <w:tc>
          <w:tcPr>
            <w:tcW w:type="dxa" w:w="57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Zmierz stoperem 10 losowych poszukiwań w ciągu zmiany. Zapisz średnią.</w:t>
            </w:r>
          </w:p>
        </w:tc>
      </w:tr>
      <w:tr>
        <w:trPr>
          <w:cantSplit/>
        </w:trPr>
        <w:tc>
          <w:tcPr>
            <w:tcW w:type="dxa" w:w="39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Liczba przedmiotów usuniętych z obszaru</w:t>
            </w:r>
          </w:p>
        </w:tc>
        <w:tc>
          <w:tcPr>
            <w:tcW w:type="dxa" w:w="57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Rejestr czerwonych tagów (zakładka „Czerwone_tagi”).</w:t>
            </w:r>
          </w:p>
        </w:tc>
      </w:tr>
      <w:tr>
        <w:trPr>
          <w:cantSplit/>
        </w:trPr>
        <w:tc>
          <w:tcPr>
            <w:tcW w:type="dxa" w:w="39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Odzyskana powierzchnia</w:t>
            </w:r>
          </w:p>
        </w:tc>
        <w:tc>
          <w:tcPr>
            <w:tcW w:type="dxa" w:w="57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Zmierz powierzchnię zajmowaną przez zbędne przedmioty przed i po akcji 1S.</w:t>
            </w:r>
          </w:p>
        </w:tc>
      </w:tr>
      <w:tr>
        <w:trPr>
          <w:cantSplit/>
        </w:trPr>
        <w:tc>
          <w:tcPr>
            <w:tcW w:type="dxa" w:w="39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Liczba zgłoszeń do utrzymania ruchu z obszaru</w:t>
            </w:r>
          </w:p>
        </w:tc>
        <w:tc>
          <w:tcPr>
            <w:tcW w:type="dxa" w:w="57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Zestawienie zgłoszeń z poprzednich 3 miesięcy i z pierwszych 3 miesięcy po wdrożeniu.</w:t>
            </w:r>
          </w:p>
        </w:tc>
      </w:tr>
      <w:tr>
        <w:trPr>
          <w:cantSplit/>
        </w:trPr>
        <w:tc>
          <w:tcPr>
            <w:tcW w:type="dxa" w:w="39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Wynik audytu 5S</w:t>
            </w:r>
          </w:p>
        </w:tc>
        <w:tc>
          <w:tcPr>
            <w:tcW w:type="dxa" w:w="57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Audyt zerowy w pliku Excel.</w:t>
            </w:r>
          </w:p>
        </w:tc>
      </w:tr>
    </w:tbl>
    <w:p>
      <w:pPr>
        <w:pStyle w:val="Heading2"/>
        <w:keepNext/>
        <w:spacing w:after="120" w:before="280"/>
      </w:pPr>
      <w:r>
        <w:rPr>
          <w:rFonts w:ascii="Arial" w:cs="Arial" w:eastAsia="Arial" w:hAnsi="Arial"/>
          <w:b/>
          <w:bCs/>
          <w:color w:val="1F4FD8"/>
          <w:sz w:val="26"/>
          <w:szCs w:val="26"/>
        </w:rPr>
        <w:t xml:space="preserve">3.4 Szkolenie zespołu pilotażu</w:t>
      </w:r>
    </w:p>
    <w:p>
      <w:pPr>
        <w:spacing w:after="120" w:before="0" w:line="276"/>
        <w:jc w:val="left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Przeprowadź 60–90 minut z całym zespołem pilotażu, najlepiej na hali, przy stanowiskach. Przykładowa agenda znajduje się w załączniku A. Najważniejsze, żeby ludzie usłyszeli trzy rzeczy: po co to robimy (co im to ułatwi), kto podejmuje decyzje o czerwonych tagach, i że audyt nie służy do oceniania osób.</w:t>
      </w:r>
    </w:p>
    <w:p>
      <w:pPr>
        <w:pStyle w:val="Heading2"/>
        <w:keepNext/>
        <w:spacing w:after="120" w:before="280"/>
      </w:pPr>
      <w:r>
        <w:rPr>
          <w:rFonts w:ascii="Arial" w:cs="Arial" w:eastAsia="Arial" w:hAnsi="Arial"/>
          <w:b/>
          <w:bCs/>
          <w:color w:val="1F4FD8"/>
          <w:sz w:val="26"/>
          <w:szCs w:val="26"/>
        </w:rPr>
        <w:t xml:space="preserve">3.5 Stan wyjściowy: zdjęcia i audyt zerowy</w:t>
      </w:r>
    </w:p>
    <w:p>
      <w:pPr>
        <w:pStyle w:val="ListParagraph"/>
        <w:keepNext w:val="false"/>
        <w:numPr>
          <w:ilvl w:val="0"/>
          <w:numId w:val="3"/>
        </w:numPr>
        <w:spacing w:after="70" w:line="270"/>
      </w:pPr>
      <w:r>
        <w:rPr>
          <w:rFonts w:ascii="Arial" w:cs="Arial" w:eastAsia="Arial" w:hAnsi="Arial"/>
          <w:b/>
          <w:bCs/>
          <w:color w:val="1B2233"/>
          <w:sz w:val="21"/>
          <w:szCs w:val="21"/>
        </w:rPr>
        <w:t xml:space="preserve">Zdjęcia „przed”.</w:t>
      </w:r>
      <w:r>
        <w:rPr>
          <w:rFonts w:ascii="Arial" w:cs="Arial" w:eastAsia="Arial" w:hAnsi="Arial"/>
          <w:color w:val="1B2233"/>
          <w:sz w:val="21"/>
          <w:szCs w:val="21"/>
        </w:rPr>
        <w:t xml:space="preserve"> Wybierz 8–12 stałych punktów (stanowiska, półki, szafki, podłoga przy maszynach, strefy składowania). Zaznacz miejsca stojące, aby później zrobić zdjęcia „po” z tego samego ujęcia.</w:t>
      </w:r>
    </w:p>
    <w:p>
      <w:pPr>
        <w:pStyle w:val="ListParagraph"/>
        <w:keepNext w:val="false"/>
        <w:numPr>
          <w:ilvl w:val="0"/>
          <w:numId w:val="3"/>
        </w:numPr>
        <w:spacing w:after="70" w:line="270"/>
      </w:pPr>
      <w:r>
        <w:rPr>
          <w:rFonts w:ascii="Arial" w:cs="Arial" w:eastAsia="Arial" w:hAnsi="Arial"/>
          <w:b/>
          <w:bCs/>
          <w:color w:val="1B2233"/>
          <w:sz w:val="21"/>
          <w:szCs w:val="21"/>
        </w:rPr>
        <w:t xml:space="preserve">Audyt zerowy.</w:t>
      </w:r>
      <w:r>
        <w:rPr>
          <w:rFonts w:ascii="Arial" w:cs="Arial" w:eastAsia="Arial" w:hAnsi="Arial"/>
          <w:color w:val="1B2233"/>
          <w:sz w:val="21"/>
          <w:szCs w:val="21"/>
        </w:rPr>
        <w:t xml:space="preserve"> Przeprowadź pełny audyt według rozdziału 6, bez uprzedniego „doprowadzania obszaru do porządku”. Interesuje Cię prawdziwy punkt startu.</w:t>
      </w:r>
    </w:p>
    <w:p>
      <w:pPr>
        <w:pStyle w:val="ListParagraph"/>
        <w:keepNext w:val="false"/>
        <w:numPr>
          <w:ilvl w:val="0"/>
          <w:numId w:val="3"/>
        </w:numPr>
        <w:spacing w:after="70" w:line="270"/>
      </w:pPr>
      <w:r>
        <w:rPr>
          <w:rFonts w:ascii="Arial" w:cs="Arial" w:eastAsia="Arial" w:hAnsi="Arial"/>
          <w:b/>
          <w:bCs/>
          <w:color w:val="1B2233"/>
          <w:sz w:val="21"/>
          <w:szCs w:val="21"/>
        </w:rPr>
        <w:t xml:space="preserve">Wynik wpisz do Excela</w:t>
      </w:r>
      <w:r>
        <w:rPr>
          <w:rFonts w:ascii="Arial" w:cs="Arial" w:eastAsia="Arial" w:hAnsi="Arial"/>
          <w:color w:val="1B2233"/>
          <w:sz w:val="21"/>
          <w:szCs w:val="21"/>
        </w:rPr>
        <w:t xml:space="preserve"> jako audyt nr 1. W panelu Dashboard będzie to „Pierwszy audyt” na wykresie radarowym.</w:t>
      </w:r>
    </w:p>
    <w:p>
      <w:pPr>
        <w:pStyle w:val="Heading2"/>
        <w:keepNext/>
        <w:spacing w:after="120" w:before="280"/>
      </w:pPr>
      <w:r>
        <w:rPr>
          <w:rFonts w:ascii="Arial" w:cs="Arial" w:eastAsia="Arial" w:hAnsi="Arial"/>
          <w:b/>
          <w:bCs/>
          <w:color w:val="1F4FD8"/>
          <w:sz w:val="26"/>
          <w:szCs w:val="26"/>
        </w:rPr>
        <w:t xml:space="preserve">3.6 Materiały do przygotowania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23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0A1A45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Obszar</w:t>
            </w:r>
          </w:p>
        </w:tc>
        <w:tc>
          <w:tcPr>
            <w:tcW w:type="dxa" w:w="73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0A1A45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Przykładowe materiały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1S Sortowanie</w:t>
            </w:r>
          </w:p>
        </w:tc>
        <w:tc>
          <w:tcPr>
            <w:tcW w:type="dxa" w:w="73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Czerwone tagi (formularz w zestawie), wyznaczona strefa kwarantanny, worki, wózek, rejestr tagów.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2S Systematyka</w:t>
            </w:r>
          </w:p>
        </w:tc>
        <w:tc>
          <w:tcPr>
            <w:tcW w:type="dxa" w:w="73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Etykiety odporne na warunki hali, taśma lub farba do znakowania podłogi, folia lub pianka na cienie narzędzi, markery, pojemniki.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3S Sprzątanie</w:t>
            </w:r>
          </w:p>
        </w:tc>
        <w:tc>
          <w:tcPr>
            <w:tcW w:type="dxa" w:w="73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Komplet sprzątający na stałe w obszarze, sorbenty, tace wychwytowe, środki czystości, osłony.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4S Standaryzacja</w:t>
            </w:r>
          </w:p>
        </w:tc>
        <w:tc>
          <w:tcPr>
            <w:tcW w:type="dxa" w:w="73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Aparat lub telefon do zdjęć, tablica, wydruki A3 (karta standardu, tablica wyników).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5S Samodyscyplina</w:t>
            </w:r>
          </w:p>
        </w:tc>
        <w:tc>
          <w:tcPr>
            <w:tcW w:type="dxa" w:w="73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Harmonogram audytów, lista 5-minutowej kontroli, miejsce na tablicy dla wyników i działań.</w:t>
            </w:r>
          </w:p>
        </w:tc>
      </w:tr>
    </w:tbl>
    <w:p>
      <w:pPr>
        <w:keepNext w:val="false"/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1F4FD8" w:sz="24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110"/>
              <w:left w:type="dxa" w:w="200"/>
              <w:bottom w:type="dxa" w:w="90"/>
              <w:right w:type="dxa" w:w="160"/>
            </w:tcMar>
          </w:tcPr>
          <w:p>
            <w:pPr>
              <w:keepNext/>
              <w:spacing w:after="60"/>
            </w:pPr>
            <w:r>
              <w:rPr>
                <w:rFonts w:ascii="Arial" w:cs="Arial" w:eastAsia="Arial" w:hAnsi="Arial"/>
                <w:b/>
                <w:bCs/>
                <w:color w:val="1F4FD8"/>
                <w:sz w:val="21"/>
                <w:szCs w:val="21"/>
              </w:rPr>
              <w:t xml:space="preserve">Komunikacja: co powiedzieć zespołowi</w:t>
            </w:r>
          </w:p>
          <w:p>
            <w:pPr>
              <w:spacing w:after="60" w:line="264"/>
            </w:pPr>
            <w:r>
              <w:rPr>
                <w:rFonts w:ascii="Arial" w:cs="Arial" w:eastAsia="Arial" w:hAnsi="Arial"/>
                <w:color w:val="1B2233"/>
                <w:sz w:val="20"/>
                <w:szCs w:val="20"/>
              </w:rPr>
              <w:t xml:space="preserve">„To nie jest kontrola. Chcemy, żebyście szukali krócej i pracowali wygodniej. Wy najlepiej wiecie, co przeszkadza. Decyzje o tym, co zostaje na stanowisku, podejmujemy razem z Wami.”</w:t>
            </w:r>
          </w:p>
          <w:p>
            <w:pPr>
              <w:spacing w:after="60" w:line="264"/>
            </w:pPr>
            <w:r>
              <w:rPr>
                <w:rFonts w:ascii="Arial" w:cs="Arial" w:eastAsia="Arial" w:hAnsi="Arial"/>
                <w:color w:val="1B2233"/>
                <w:sz w:val="20"/>
                <w:szCs w:val="20"/>
              </w:rPr>
              <w:t xml:space="preserve">Najczęstsze obawy to: „kto będzie sprzątał”, „zabiorą mi moje narzędzia” i „to na dwa tygodnie, a potem wszystko wróci”. Odpowiedz na każdą wprost, zanim ktoś o to zapyta.</w:t>
            </w:r>
          </w:p>
        </w:tc>
      </w:tr>
    </w:tbl>
    <w:p>
      <w:pPr>
        <w:pStyle w:val="Heading1"/>
        <w:keepNext/>
        <w:pageBreakBefore/>
        <w:pBdr>
          <w:bottom w:val="single" w:color="1F4FD8" w:sz="12" w:space="6"/>
        </w:pBdr>
        <w:spacing w:after="200" w:before="0"/>
      </w:pPr>
      <w:r>
        <w:rPr>
          <w:rFonts w:ascii="Arial" w:cs="Arial" w:eastAsia="Arial" w:hAnsi="Arial"/>
          <w:b/>
          <w:bCs/>
          <w:color w:val="0A1A45"/>
          <w:sz w:val="34"/>
          <w:szCs w:val="34"/>
        </w:rPr>
        <w:t xml:space="preserve">4. Wdrożenie krok po kroku</w:t>
      </w:r>
    </w:p>
    <w:p>
      <w:pPr>
        <w:spacing w:after="120" w:before="0" w:line="276"/>
        <w:jc w:val="left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Każde S ma tę samą budowę: cel, kroki, narzędzia z zestawu, przykład, typowe błędy i kryterium zamknięcia. Kroki 1S–3S wykonujesz w obszarze pilotażowym w ciągu 2–4 tygodni, 4S–5S budujesz równolegle i dopracowujesz w kolejnych miesiącach.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8538"/>
      </w:tblGrid>
      <w:tr>
        <w:trPr>
          <w:cantSplit/>
        </w:trPr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9523F" w:color="auto" w:val="clear"/>
            <w:tcMar>
              <w:top w:type="dxa" w:w="140"/>
              <w:left w:type="dxa" w:w="80"/>
              <w:bottom w:type="dxa" w:w="140"/>
              <w:right w:type="dxa" w:w="8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0"/>
                <w:szCs w:val="40"/>
              </w:rPr>
              <w:t xml:space="preserve">1S</w:t>
            </w:r>
          </w:p>
        </w:tc>
        <w:tc>
          <w:tcPr>
            <w:tcW w:type="dxa" w:w="85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A1A45" w:color="auto" w:val="clear"/>
            <w:tcMar>
              <w:top w:type="dxa" w:w="100"/>
              <w:left w:type="dxa" w:w="200"/>
              <w:bottom w:type="dxa" w:w="100"/>
              <w:right w:type="dxa" w:w="160"/>
            </w:tcMar>
            <w:vAlign w:val="center"/>
          </w:tcPr>
          <w:p>
            <w:pPr>
              <w:keepNext/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30"/>
                <w:szCs w:val="30"/>
              </w:rPr>
              <w:t xml:space="preserve">Sortowanie</w:t>
            </w:r>
            <w:r>
              <w:rPr>
                <w:rFonts w:ascii="Arial" w:cs="Arial" w:eastAsia="Arial" w:hAnsi="Arial"/>
                <w:color w:val="AFC0E8"/>
                <w:sz w:val="20"/>
                <w:szCs w:val="20"/>
              </w:rPr>
              <w:t xml:space="preserve">   Seiri</w:t>
            </w:r>
          </w:p>
          <w:p>
            <w:pPr>
              <w:keepNext/>
              <w:spacing w:after="0" w:line="252"/>
            </w:pPr>
            <w:r>
              <w:rPr>
                <w:rFonts w:ascii="Arial" w:cs="Arial" w:eastAsia="Arial" w:hAnsi="Arial"/>
                <w:color w:val="DCE6FF"/>
                <w:sz w:val="19"/>
                <w:szCs w:val="19"/>
              </w:rPr>
              <w:t xml:space="preserve">Zostaje tylko to, co jest potrzebne do pracy w tej zmianie. Reszta ma decyzję: wrócić, przenieść, sprzedać albo zezłomować.</w:t>
            </w:r>
          </w:p>
        </w:tc>
      </w:tr>
    </w:tbl>
    <w:p>
      <w:pPr>
        <w:keepNext/>
        <w:spacing w:after="80"/>
      </w:pPr>
    </w:p>
    <w:p>
      <w:pPr>
        <w:pStyle w:val="Heading3"/>
        <w:keepNext/>
        <w:spacing w:after="80" w:before="200"/>
      </w:pPr>
      <w:r>
        <w:rPr>
          <w:rFonts w:ascii="Arial" w:cs="Arial" w:eastAsia="Arial" w:hAnsi="Arial"/>
          <w:b/>
          <w:bCs/>
          <w:color w:val="D9523F"/>
          <w:sz w:val="22"/>
          <w:szCs w:val="22"/>
        </w:rPr>
        <w:t xml:space="preserve">Jak to robimy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998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shd w:fill="D9523F" w:color="auto" w:val="clear"/>
              <w:spacing w:after="40" w:before="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1</w:t>
            </w:r>
          </w:p>
        </w:tc>
        <w:tc>
          <w:tcPr>
            <w:tcW w:type="dxa" w:w="8998"/>
            <w:tcBorders>
              <w:top w:val="none" w:color="FFFFFF" w:sz="0"/>
              <w:left w:val="none" w:color="FFFFFF" w:sz="0"/>
              <w:bottom w:val="single" w:color="E3E8F2" w:sz="4"/>
              <w:right w:val="none" w:color="FFFFFF" w:sz="0"/>
            </w:tcBorders>
            <w:tcMar>
              <w:top w:type="dxa" w:w="40"/>
              <w:left w:type="dxa" w:w="120"/>
              <w:bottom w:type="dxa" w:w="80"/>
              <w:right w:type="dxa" w:w="0"/>
            </w:tcMar>
          </w:tcPr>
          <w:p>
            <w:pPr>
              <w:keepNext/>
              <w:spacing w:after="40"/>
            </w:pPr>
            <w:r>
              <w:rPr>
                <w:rFonts w:ascii="Arial" w:cs="Arial" w:eastAsia="Arial" w:hAnsi="Arial"/>
                <w:b/>
                <w:bCs/>
                <w:color w:val="0A1A45"/>
                <w:sz w:val="21"/>
                <w:szCs w:val="21"/>
              </w:rPr>
              <w:t xml:space="preserve">Ustal kryterium użycia</w:t>
            </w:r>
          </w:p>
          <w:p>
            <w:pPr>
              <w:spacing w:after="20" w:line="264"/>
            </w:pPr>
            <w:r>
              <w:rPr>
                <w:rFonts w:ascii="Arial" w:cs="Arial" w:eastAsia="Arial" w:hAnsi="Arial"/>
                <w:color w:val="1B2233"/>
                <w:sz w:val="20"/>
                <w:szCs w:val="20"/>
              </w:rPr>
              <w:t xml:space="preserve">Zdecydujcie z zespołem, jak często dana rzecz musi być użyta, aby zasługiwała na miejsce przy stanowisku. Przykład reguły: używane </w:t>
            </w:r>
            <w:r>
              <w:rPr>
                <w:rFonts w:ascii="Arial" w:cs="Arial" w:eastAsia="Arial" w:hAnsi="Arial"/>
                <w:b/>
                <w:bCs/>
                <w:color w:val="1B2233"/>
                <w:sz w:val="20"/>
                <w:szCs w:val="20"/>
              </w:rPr>
              <w:t xml:space="preserve">co zmianę</w:t>
            </w:r>
            <w:r>
              <w:rPr>
                <w:rFonts w:ascii="Arial" w:cs="Arial" w:eastAsia="Arial" w:hAnsi="Arial"/>
                <w:color w:val="1B2233"/>
                <w:sz w:val="20"/>
                <w:szCs w:val="20"/>
              </w:rPr>
              <w:t xml:space="preserve"> zostaje przy stanowisku, </w:t>
            </w:r>
            <w:r>
              <w:rPr>
                <w:rFonts w:ascii="Arial" w:cs="Arial" w:eastAsia="Arial" w:hAnsi="Arial"/>
                <w:b/>
                <w:bCs/>
                <w:color w:val="1B2233"/>
                <w:sz w:val="20"/>
                <w:szCs w:val="20"/>
              </w:rPr>
              <w:t xml:space="preserve">co tydzień</w:t>
            </w:r>
            <w:r>
              <w:rPr>
                <w:rFonts w:ascii="Arial" w:cs="Arial" w:eastAsia="Arial" w:hAnsi="Arial"/>
                <w:color w:val="1B2233"/>
                <w:sz w:val="20"/>
                <w:szCs w:val="20"/>
              </w:rPr>
              <w:t xml:space="preserve"> w obszarze (np. szafka lub regał), </w:t>
            </w:r>
            <w:r>
              <w:rPr>
                <w:rFonts w:ascii="Arial" w:cs="Arial" w:eastAsia="Arial" w:hAnsi="Arial"/>
                <w:b/>
                <w:bCs/>
                <w:color w:val="1B2233"/>
                <w:sz w:val="20"/>
                <w:szCs w:val="20"/>
              </w:rPr>
              <w:t xml:space="preserve">co miesiąc</w:t>
            </w:r>
            <w:r>
              <w:rPr>
                <w:rFonts w:ascii="Arial" w:cs="Arial" w:eastAsia="Arial" w:hAnsi="Arial"/>
                <w:color w:val="1B2233"/>
                <w:sz w:val="20"/>
                <w:szCs w:val="20"/>
              </w:rPr>
              <w:t xml:space="preserve"> w magazynie podręcznym, </w:t>
            </w:r>
            <w:r>
              <w:rPr>
                <w:rFonts w:ascii="Arial" w:cs="Arial" w:eastAsia="Arial" w:hAnsi="Arial"/>
                <w:b/>
                <w:bCs/>
                <w:color w:val="1B2233"/>
                <w:sz w:val="20"/>
                <w:szCs w:val="20"/>
              </w:rPr>
              <w:t xml:space="preserve">rzadziej</w:t>
            </w:r>
            <w:r>
              <w:rPr>
                <w:rFonts w:ascii="Arial" w:cs="Arial" w:eastAsia="Arial" w:hAnsi="Arial"/>
                <w:color w:val="1B2233"/>
                <w:sz w:val="20"/>
                <w:szCs w:val="20"/>
              </w:rPr>
              <w:t xml:space="preserve"> wymaga decyzji.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998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shd w:fill="D9523F" w:color="auto" w:val="clear"/>
              <w:spacing w:after="40" w:before="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2</w:t>
            </w:r>
          </w:p>
        </w:tc>
        <w:tc>
          <w:tcPr>
            <w:tcW w:type="dxa" w:w="8998"/>
            <w:tcBorders>
              <w:top w:val="none" w:color="FFFFFF" w:sz="0"/>
              <w:left w:val="none" w:color="FFFFFF" w:sz="0"/>
              <w:bottom w:val="single" w:color="E3E8F2" w:sz="4"/>
              <w:right w:val="none" w:color="FFFFFF" w:sz="0"/>
            </w:tcBorders>
            <w:tcMar>
              <w:top w:type="dxa" w:w="40"/>
              <w:left w:type="dxa" w:w="120"/>
              <w:bottom w:type="dxa" w:w="80"/>
              <w:right w:type="dxa" w:w="0"/>
            </w:tcMar>
          </w:tcPr>
          <w:p>
            <w:pPr>
              <w:keepNext/>
              <w:spacing w:after="40"/>
            </w:pPr>
            <w:r>
              <w:rPr>
                <w:rFonts w:ascii="Arial" w:cs="Arial" w:eastAsia="Arial" w:hAnsi="Arial"/>
                <w:b/>
                <w:bCs/>
                <w:color w:val="0A1A45"/>
                <w:sz w:val="21"/>
                <w:szCs w:val="21"/>
              </w:rPr>
              <w:t xml:space="preserve">Przejdź obszar z czerwonymi tagami</w:t>
            </w:r>
          </w:p>
          <w:p>
            <w:pPr>
              <w:spacing w:after="20" w:line="264"/>
            </w:pPr>
            <w:r>
              <w:rPr>
                <w:rFonts w:ascii="Arial" w:cs="Arial" w:eastAsia="Arial" w:hAnsi="Arial"/>
                <w:color w:val="1B2233"/>
                <w:sz w:val="20"/>
                <w:szCs w:val="20"/>
              </w:rPr>
              <w:t xml:space="preserve">Każdy przedmiot niespełniający kryterium lub o nieznanym przeznaczeniu dostaje czerwony tag: nazwa, ilość, powód (zbędny, uszkodzony, nadmiar, nieznany), data i kto oznaczył. Zajrzyj do szafek, szuflad, pod stoły i na górę regałów.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998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shd w:fill="D9523F" w:color="auto" w:val="clear"/>
              <w:spacing w:after="40" w:before="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3</w:t>
            </w:r>
          </w:p>
        </w:tc>
        <w:tc>
          <w:tcPr>
            <w:tcW w:type="dxa" w:w="8998"/>
            <w:tcBorders>
              <w:top w:val="none" w:color="FFFFFF" w:sz="0"/>
              <w:left w:val="none" w:color="FFFFFF" w:sz="0"/>
              <w:bottom w:val="single" w:color="E3E8F2" w:sz="4"/>
              <w:right w:val="none" w:color="FFFFFF" w:sz="0"/>
            </w:tcBorders>
            <w:tcMar>
              <w:top w:type="dxa" w:w="40"/>
              <w:left w:type="dxa" w:w="120"/>
              <w:bottom w:type="dxa" w:w="80"/>
              <w:right w:type="dxa" w:w="0"/>
            </w:tcMar>
          </w:tcPr>
          <w:p>
            <w:pPr>
              <w:keepNext/>
              <w:spacing w:after="40"/>
            </w:pPr>
            <w:r>
              <w:rPr>
                <w:rFonts w:ascii="Arial" w:cs="Arial" w:eastAsia="Arial" w:hAnsi="Arial"/>
                <w:b/>
                <w:bCs/>
                <w:color w:val="0A1A45"/>
                <w:sz w:val="21"/>
                <w:szCs w:val="21"/>
              </w:rPr>
              <w:t xml:space="preserve">Przenieś oznaczone do strefy kwarantanny</w:t>
            </w:r>
          </w:p>
          <w:p>
            <w:pPr>
              <w:spacing w:after="20" w:line="264"/>
            </w:pPr>
            <w:r>
              <w:rPr>
                <w:rFonts w:ascii="Arial" w:cs="Arial" w:eastAsia="Arial" w:hAnsi="Arial"/>
                <w:color w:val="1B2233"/>
                <w:sz w:val="20"/>
                <w:szCs w:val="20"/>
              </w:rPr>
              <w:t xml:space="preserve">Wydziel jedno oznaczone miejsce („czerwona strefa”). Nic nie wyrzucamy bez decyzji, ale też nic nie wraca na stanowisko, dopóki jej nie ma.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998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shd w:fill="D9523F" w:color="auto" w:val="clear"/>
              <w:spacing w:after="40" w:before="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4</w:t>
            </w:r>
          </w:p>
        </w:tc>
        <w:tc>
          <w:tcPr>
            <w:tcW w:type="dxa" w:w="8998"/>
            <w:tcBorders>
              <w:top w:val="none" w:color="FFFFFF" w:sz="0"/>
              <w:left w:val="none" w:color="FFFFFF" w:sz="0"/>
              <w:bottom w:val="single" w:color="E3E8F2" w:sz="4"/>
              <w:right w:val="none" w:color="FFFFFF" w:sz="0"/>
            </w:tcBorders>
            <w:tcMar>
              <w:top w:type="dxa" w:w="40"/>
              <w:left w:type="dxa" w:w="120"/>
              <w:bottom w:type="dxa" w:w="80"/>
              <w:right w:type="dxa" w:w="0"/>
            </w:tcMar>
          </w:tcPr>
          <w:p>
            <w:pPr>
              <w:keepNext/>
              <w:spacing w:after="40"/>
            </w:pPr>
            <w:r>
              <w:rPr>
                <w:rFonts w:ascii="Arial" w:cs="Arial" w:eastAsia="Arial" w:hAnsi="Arial"/>
                <w:b/>
                <w:bCs/>
                <w:color w:val="0A1A45"/>
                <w:sz w:val="21"/>
                <w:szCs w:val="21"/>
              </w:rPr>
              <w:t xml:space="preserve">Zarejestruj tagi</w:t>
            </w:r>
          </w:p>
          <w:p>
            <w:pPr>
              <w:spacing w:after="20" w:line="264"/>
            </w:pPr>
            <w:r>
              <w:rPr>
                <w:rFonts w:ascii="Arial" w:cs="Arial" w:eastAsia="Arial" w:hAnsi="Arial"/>
                <w:color w:val="1B2233"/>
                <w:sz w:val="20"/>
                <w:szCs w:val="20"/>
              </w:rPr>
              <w:t xml:space="preserve">Wpisz każdy tag do zakładki „Czerwone_tagi”. Numer tagu z formularza to klucz łączący przedmiot z wpisem.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998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shd w:fill="D9523F" w:color="auto" w:val="clear"/>
              <w:spacing w:after="40" w:before="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5</w:t>
            </w:r>
          </w:p>
        </w:tc>
        <w:tc>
          <w:tcPr>
            <w:tcW w:type="dxa" w:w="8998"/>
            <w:tcBorders>
              <w:top w:val="none" w:color="FFFFFF" w:sz="0"/>
              <w:left w:val="none" w:color="FFFFFF" w:sz="0"/>
              <w:bottom w:val="single" w:color="E3E8F2" w:sz="4"/>
              <w:right w:val="none" w:color="FFFFFF" w:sz="0"/>
            </w:tcBorders>
            <w:tcMar>
              <w:top w:type="dxa" w:w="40"/>
              <w:left w:type="dxa" w:w="120"/>
              <w:bottom w:type="dxa" w:w="80"/>
              <w:right w:type="dxa" w:w="0"/>
            </w:tcMar>
          </w:tcPr>
          <w:p>
            <w:pPr>
              <w:keepNext/>
              <w:spacing w:after="40"/>
            </w:pPr>
            <w:r>
              <w:rPr>
                <w:rFonts w:ascii="Arial" w:cs="Arial" w:eastAsia="Arial" w:hAnsi="Arial"/>
                <w:b/>
                <w:bCs/>
                <w:color w:val="0A1A45"/>
                <w:sz w:val="21"/>
                <w:szCs w:val="21"/>
              </w:rPr>
              <w:t xml:space="preserve">Zdecyduj w ciągu 7 dni</w:t>
            </w:r>
          </w:p>
          <w:p>
            <w:pPr>
              <w:spacing w:after="20" w:line="264"/>
            </w:pPr>
            <w:r>
              <w:rPr>
                <w:rFonts w:ascii="Arial" w:cs="Arial" w:eastAsia="Arial" w:hAnsi="Arial"/>
                <w:color w:val="1B2233"/>
                <w:sz w:val="20"/>
                <w:szCs w:val="20"/>
              </w:rPr>
              <w:t xml:space="preserve">Osoba z uprawnieniami (kierownik zmiany lub sponsor) wybiera: </w:t>
            </w:r>
            <w:r>
              <w:rPr>
                <w:rFonts w:ascii="Arial" w:cs="Arial" w:eastAsia="Arial" w:hAnsi="Arial"/>
                <w:b/>
                <w:bCs/>
                <w:color w:val="1B2233"/>
                <w:sz w:val="20"/>
                <w:szCs w:val="20"/>
              </w:rPr>
              <w:t xml:space="preserve">zostaje</w:t>
            </w:r>
            <w:r>
              <w:rPr>
                <w:rFonts w:ascii="Arial" w:cs="Arial" w:eastAsia="Arial" w:hAnsi="Arial"/>
                <w:color w:val="1B2233"/>
                <w:sz w:val="20"/>
                <w:szCs w:val="20"/>
              </w:rPr>
              <w:t xml:space="preserve"> (wraca na miejsce), </w:t>
            </w:r>
            <w:r>
              <w:rPr>
                <w:rFonts w:ascii="Arial" w:cs="Arial" w:eastAsia="Arial" w:hAnsi="Arial"/>
                <w:b/>
                <w:bCs/>
                <w:color w:val="1B2233"/>
                <w:sz w:val="20"/>
                <w:szCs w:val="20"/>
              </w:rPr>
              <w:t xml:space="preserve">przenieść</w:t>
            </w:r>
            <w:r>
              <w:rPr>
                <w:rFonts w:ascii="Arial" w:cs="Arial" w:eastAsia="Arial" w:hAnsi="Arial"/>
                <w:color w:val="1B2233"/>
                <w:sz w:val="20"/>
                <w:szCs w:val="20"/>
              </w:rPr>
              <w:t xml:space="preserve"> do innego obszaru, </w:t>
            </w:r>
            <w:r>
              <w:rPr>
                <w:rFonts w:ascii="Arial" w:cs="Arial" w:eastAsia="Arial" w:hAnsi="Arial"/>
                <w:b/>
                <w:bCs/>
                <w:color w:val="1B2233"/>
                <w:sz w:val="20"/>
                <w:szCs w:val="20"/>
              </w:rPr>
              <w:t xml:space="preserve">sprzedać lub przekazać</w:t>
            </w:r>
            <w:r>
              <w:rPr>
                <w:rFonts w:ascii="Arial" w:cs="Arial" w:eastAsia="Arial" w:hAnsi="Arial"/>
                <w:color w:val="1B2233"/>
                <w:sz w:val="20"/>
                <w:szCs w:val="20"/>
              </w:rPr>
              <w:t xml:space="preserve">, </w:t>
            </w:r>
            <w:r>
              <w:rPr>
                <w:rFonts w:ascii="Arial" w:cs="Arial" w:eastAsia="Arial" w:hAnsi="Arial"/>
                <w:b/>
                <w:bCs/>
                <w:color w:val="1B2233"/>
                <w:sz w:val="20"/>
                <w:szCs w:val="20"/>
              </w:rPr>
              <w:t xml:space="preserve">zezłomować lub zutylizować</w:t>
            </w:r>
            <w:r>
              <w:rPr>
                <w:rFonts w:ascii="Arial" w:cs="Arial" w:eastAsia="Arial" w:hAnsi="Arial"/>
                <w:color w:val="1B2233"/>
                <w:sz w:val="20"/>
                <w:szCs w:val="20"/>
              </w:rPr>
              <w:t xml:space="preserve">. Przy odpadach, narzędziach z kalibracją i substancjach niebezpiecznych obowiązują procedury zakładu.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998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shd w:fill="D9523F" w:color="auto" w:val="clear"/>
              <w:spacing w:after="40" w:before="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6</w:t>
            </w:r>
          </w:p>
        </w:tc>
        <w:tc>
          <w:tcPr>
            <w:tcW w:type="dxa" w:w="8998"/>
            <w:tcBorders>
              <w:top w:val="none" w:color="FFFFFF" w:sz="0"/>
              <w:left w:val="none" w:color="FFFFFF" w:sz="0"/>
              <w:bottom w:val="single" w:color="E3E8F2" w:sz="4"/>
              <w:right w:val="none" w:color="FFFFFF" w:sz="0"/>
            </w:tcBorders>
            <w:tcMar>
              <w:top w:type="dxa" w:w="40"/>
              <w:left w:type="dxa" w:w="120"/>
              <w:bottom w:type="dxa" w:w="80"/>
              <w:right w:type="dxa" w:w="0"/>
            </w:tcMar>
          </w:tcPr>
          <w:p>
            <w:pPr>
              <w:keepNext/>
              <w:spacing w:after="40"/>
            </w:pPr>
            <w:r>
              <w:rPr>
                <w:rFonts w:ascii="Arial" w:cs="Arial" w:eastAsia="Arial" w:hAnsi="Arial"/>
                <w:b/>
                <w:bCs/>
                <w:color w:val="0A1A45"/>
                <w:sz w:val="21"/>
                <w:szCs w:val="21"/>
              </w:rPr>
              <w:t xml:space="preserve">Opróżnij strefę i udokumentuj efekt</w:t>
            </w:r>
          </w:p>
          <w:p>
            <w:pPr>
              <w:spacing w:after="20" w:line="264"/>
            </w:pPr>
            <w:r>
              <w:rPr>
                <w:rFonts w:ascii="Arial" w:cs="Arial" w:eastAsia="Arial" w:hAnsi="Arial"/>
                <w:color w:val="1B2233"/>
                <w:sz w:val="20"/>
                <w:szCs w:val="20"/>
              </w:rPr>
              <w:t xml:space="preserve">Zrób zdjęcie „po”, policz przedmioty i zmierz odzyskaną powierzchnię. Te dane przydadzą się w podsumowaniu 90 dni.</w:t>
            </w:r>
          </w:p>
        </w:tc>
      </w:tr>
    </w:tbl>
    <w:p>
      <w:pPr>
        <w:pStyle w:val="Heading3"/>
        <w:keepNext/>
        <w:spacing w:after="80" w:before="200"/>
      </w:pPr>
      <w:r>
        <w:rPr>
          <w:rFonts w:ascii="Arial" w:cs="Arial" w:eastAsia="Arial" w:hAnsi="Arial"/>
          <w:b/>
          <w:bCs/>
          <w:color w:val="D9523F"/>
          <w:sz w:val="22"/>
          <w:szCs w:val="22"/>
        </w:rPr>
        <w:t xml:space="preserve">Narzędzia z zestawu</w:t>
      </w:r>
    </w:p>
    <w:p>
      <w:pPr>
        <w:pStyle w:val="ListParagraph"/>
        <w:keepNext/>
        <w:numPr>
          <w:ilvl w:val="0"/>
          <w:numId w:val="3"/>
        </w:numPr>
        <w:spacing w:after="70" w:line="270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Formularz: </w:t>
      </w:r>
      <w:r>
        <w:rPr>
          <w:rFonts w:ascii="Arial" w:cs="Arial" w:eastAsia="Arial" w:hAnsi="Arial"/>
          <w:b/>
          <w:bCs/>
          <w:color w:val="1B2233"/>
          <w:sz w:val="21"/>
          <w:szCs w:val="21"/>
        </w:rPr>
        <w:t xml:space="preserve">Karta czerwonego tagu</w:t>
      </w:r>
      <w:r>
        <w:rPr>
          <w:rFonts w:ascii="Arial" w:cs="Arial" w:eastAsia="Arial" w:hAnsi="Arial"/>
          <w:color w:val="1B2233"/>
          <w:sz w:val="21"/>
          <w:szCs w:val="21"/>
        </w:rPr>
        <w:t xml:space="preserve"> (PDF A4).</w:t>
      </w:r>
    </w:p>
    <w:p>
      <w:pPr>
        <w:pStyle w:val="ListParagraph"/>
        <w:keepNext/>
        <w:numPr>
          <w:ilvl w:val="0"/>
          <w:numId w:val="3"/>
        </w:numPr>
        <w:spacing w:after="70" w:line="270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Excel: zakładka </w:t>
      </w:r>
      <w:r>
        <w:rPr>
          <w:rFonts w:ascii="Arial" w:cs="Arial" w:eastAsia="Arial" w:hAnsi="Arial"/>
          <w:b/>
          <w:bCs/>
          <w:color w:val="1B2233"/>
          <w:sz w:val="21"/>
          <w:szCs w:val="21"/>
        </w:rPr>
        <w:t xml:space="preserve">Czerwone_tagi</w:t>
      </w:r>
      <w:r>
        <w:rPr>
          <w:rFonts w:ascii="Arial" w:cs="Arial" w:eastAsia="Arial" w:hAnsi="Arial"/>
          <w:color w:val="1B2233"/>
          <w:sz w:val="21"/>
          <w:szCs w:val="21"/>
        </w:rPr>
        <w:t xml:space="preserve"> (rejestr, termin decyzji, liczba dni otwarcia, statystyki).</w:t>
      </w:r>
    </w:p>
    <w:p>
      <w:pPr>
        <w:pStyle w:val="ListParagraph"/>
        <w:keepNext w:val="false"/>
        <w:numPr>
          <w:ilvl w:val="0"/>
          <w:numId w:val="3"/>
        </w:numPr>
        <w:spacing w:after="70" w:line="270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Excel: pytania audytu 1.1–1.8.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D9523F" w:sz="24"/>
              <w:bottom w:val="none" w:color="FFFFFF" w:sz="0"/>
              <w:right w:val="none" w:color="FFFFFF" w:sz="0"/>
            </w:tcBorders>
            <w:shd w:fill="F7F9FD" w:color="auto" w:val="clear"/>
            <w:tcMar>
              <w:top w:type="dxa" w:w="110"/>
              <w:left w:type="dxa" w:w="200"/>
              <w:bottom w:type="dxa" w:w="90"/>
              <w:right w:type="dxa" w:w="160"/>
            </w:tcMar>
          </w:tcPr>
          <w:p>
            <w:pPr>
              <w:keepNext/>
              <w:spacing w:after="60"/>
            </w:pPr>
            <w:r>
              <w:rPr>
                <w:rFonts w:ascii="Arial" w:cs="Arial" w:eastAsia="Arial" w:hAnsi="Arial"/>
                <w:b/>
                <w:bCs/>
                <w:color w:val="D9523F"/>
                <w:sz w:val="21"/>
                <w:szCs w:val="21"/>
              </w:rPr>
              <w:t xml:space="preserve">Przykład z hali</w:t>
            </w:r>
          </w:p>
          <w:p>
            <w:pPr>
              <w:spacing w:after="60" w:line="264"/>
            </w:pPr>
            <w:r>
              <w:rPr>
                <w:rFonts w:ascii="Arial" w:cs="Arial" w:eastAsia="Arial" w:hAnsi="Arial"/>
                <w:color w:val="1B2233"/>
                <w:sz w:val="20"/>
                <w:szCs w:val="20"/>
              </w:rPr>
              <w:t xml:space="preserve">Przy linii pakowania zespół oznaczył tagami m.in. komplet przyrządów po zmianie modelu, kilkanaście pustych palet zwrotnych i skrzynkę z nieoznaczonymi łącznikami. Po tygodniu zapadły decyzje: przyrządy do narzędziowni, palety do magazynu opakowań, łączniki do identyfikacji i ponownego przypisania. Z podłogi przy linii zniknął jeden rząd palet.</w:t>
            </w:r>
          </w:p>
        </w:tc>
      </w:tr>
    </w:tbl>
    <w:p>
      <w:pPr>
        <w:pStyle w:val="Heading3"/>
        <w:keepNext/>
        <w:spacing w:after="80" w:before="200"/>
      </w:pPr>
      <w:r>
        <w:rPr>
          <w:rFonts w:ascii="Arial" w:cs="Arial" w:eastAsia="Arial" w:hAnsi="Arial"/>
          <w:b/>
          <w:bCs/>
          <w:color w:val="D9523F"/>
          <w:sz w:val="22"/>
          <w:szCs w:val="22"/>
        </w:rPr>
        <w:t xml:space="preserve">Typowe błędy</w:t>
      </w:r>
    </w:p>
    <w:p>
      <w:pPr>
        <w:pStyle w:val="ListParagraph"/>
        <w:keepNext/>
        <w:numPr>
          <w:ilvl w:val="0"/>
          <w:numId w:val="3"/>
        </w:numPr>
        <w:spacing w:after="70" w:line="270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Wyrzucanie bez decyzji i bez rejestru, co kończy się konfliktem („gdzie moje narzędzie?”).</w:t>
      </w:r>
    </w:p>
    <w:p>
      <w:pPr>
        <w:pStyle w:val="ListParagraph"/>
        <w:keepNext/>
        <w:numPr>
          <w:ilvl w:val="0"/>
          <w:numId w:val="3"/>
        </w:numPr>
        <w:spacing w:after="70" w:line="270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Strefa kwarantanny bez terminu, która po kilku miesiącach staje się nowym składowiskiem.</w:t>
      </w:r>
    </w:p>
    <w:p>
      <w:pPr>
        <w:pStyle w:val="ListParagraph"/>
        <w:keepNext/>
        <w:numPr>
          <w:ilvl w:val="0"/>
          <w:numId w:val="3"/>
        </w:numPr>
        <w:spacing w:after="70" w:line="270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Sortowanie wyłącznie „widocznych” rzeczy: szafki, szuflady i górne półki zostają nietknięte.</w:t>
      </w:r>
    </w:p>
    <w:p>
      <w:pPr>
        <w:pStyle w:val="ListParagraph"/>
        <w:keepNext w:val="false"/>
        <w:numPr>
          <w:ilvl w:val="0"/>
          <w:numId w:val="3"/>
        </w:numPr>
        <w:spacing w:after="70" w:line="270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Pominięcie dokumentów, instrukcji i plików elektronicznych stanowiska.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D9523F" w:sz="24"/>
              <w:bottom w:val="none" w:color="FFFFFF" w:sz="0"/>
              <w:right w:val="none" w:color="FFFFFF" w:sz="0"/>
            </w:tcBorders>
            <w:shd w:fill="F4FAF6" w:color="auto" w:val="clear"/>
            <w:tcMar>
              <w:top w:type="dxa" w:w="110"/>
              <w:left w:type="dxa" w:w="200"/>
              <w:bottom w:type="dxa" w:w="90"/>
              <w:right w:type="dxa" w:w="160"/>
            </w:tcMar>
          </w:tcPr>
          <w:p>
            <w:pPr>
              <w:keepNext/>
              <w:spacing w:after="60"/>
            </w:pPr>
            <w:r>
              <w:rPr>
                <w:rFonts w:ascii="Arial" w:cs="Arial" w:eastAsia="Arial" w:hAnsi="Arial"/>
                <w:b/>
                <w:bCs/>
                <w:color w:val="D9523F"/>
                <w:sz w:val="21"/>
                <w:szCs w:val="21"/>
              </w:rPr>
              <w:t xml:space="preserve">Kryterium zamknięcia 1S</w:t>
            </w:r>
          </w:p>
          <w:p>
            <w:pPr>
              <w:spacing w:after="60" w:line="264"/>
            </w:pPr>
            <w:r>
              <w:rPr>
                <w:rFonts w:ascii="Arial" w:cs="Arial" w:eastAsia="Arial" w:hAnsi="Arial"/>
                <w:color w:val="1B2233"/>
                <w:sz w:val="20"/>
                <w:szCs w:val="20"/>
              </w:rPr>
              <w:t xml:space="preserve">Wszystkie przedmioty o niejasnym statusie mają tag i wpis w rejestrze. Decyzje zapadły w ciągu 7 dni. Strefa kwarantanny jest pusta lub zawiera tylko przedmioty z terminem decyzji. Wynik pytań 1.1–1.8 w audycie po akcji wynosi co najmniej 3 punkty średnio.</w:t>
            </w:r>
          </w:p>
        </w:tc>
      </w:tr>
    </w:tbl>
    <w:p>
      <w:pPr>
        <w:keepNext w:val="false"/>
        <w:spacing w:after="3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8538"/>
      </w:tblGrid>
      <w:tr>
        <w:trPr>
          <w:cantSplit/>
        </w:trPr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69A1F" w:color="auto" w:val="clear"/>
            <w:tcMar>
              <w:top w:type="dxa" w:w="140"/>
              <w:left w:type="dxa" w:w="80"/>
              <w:bottom w:type="dxa" w:w="140"/>
              <w:right w:type="dxa" w:w="8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0"/>
                <w:szCs w:val="40"/>
              </w:rPr>
              <w:t xml:space="preserve">2S</w:t>
            </w:r>
          </w:p>
        </w:tc>
        <w:tc>
          <w:tcPr>
            <w:tcW w:type="dxa" w:w="85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A1A45" w:color="auto" w:val="clear"/>
            <w:tcMar>
              <w:top w:type="dxa" w:w="100"/>
              <w:left w:type="dxa" w:w="200"/>
              <w:bottom w:type="dxa" w:w="100"/>
              <w:right w:type="dxa" w:w="160"/>
            </w:tcMar>
            <w:vAlign w:val="center"/>
          </w:tcPr>
          <w:p>
            <w:pPr>
              <w:keepNext/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30"/>
                <w:szCs w:val="30"/>
              </w:rPr>
              <w:t xml:space="preserve">Systematyka</w:t>
            </w:r>
            <w:r>
              <w:rPr>
                <w:rFonts w:ascii="Arial" w:cs="Arial" w:eastAsia="Arial" w:hAnsi="Arial"/>
                <w:color w:val="AFC0E8"/>
                <w:sz w:val="20"/>
                <w:szCs w:val="20"/>
              </w:rPr>
              <w:t xml:space="preserve">   Seiton</w:t>
            </w:r>
          </w:p>
          <w:p>
            <w:pPr>
              <w:keepNext/>
              <w:spacing w:after="0" w:line="252"/>
            </w:pPr>
            <w:r>
              <w:rPr>
                <w:rFonts w:ascii="Arial" w:cs="Arial" w:eastAsia="Arial" w:hAnsi="Arial"/>
                <w:color w:val="DCE6FF"/>
                <w:sz w:val="19"/>
                <w:szCs w:val="19"/>
              </w:rPr>
              <w:t xml:space="preserve">Każdy przedmiot ma stałe, oznaczone miejsce, a brak lub nadmiar widać w kilka sekund.</w:t>
            </w:r>
          </w:p>
        </w:tc>
      </w:tr>
    </w:tbl>
    <w:p>
      <w:pPr>
        <w:keepNext/>
        <w:spacing w:after="80"/>
      </w:pPr>
    </w:p>
    <w:p>
      <w:pPr>
        <w:pStyle w:val="Heading3"/>
        <w:keepNext/>
        <w:spacing w:after="80" w:before="200"/>
      </w:pPr>
      <w:r>
        <w:rPr>
          <w:rFonts w:ascii="Arial" w:cs="Arial" w:eastAsia="Arial" w:hAnsi="Arial"/>
          <w:b/>
          <w:bCs/>
          <w:color w:val="E69A1F"/>
          <w:sz w:val="22"/>
          <w:szCs w:val="22"/>
        </w:rPr>
        <w:t xml:space="preserve">Jak to robimy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998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shd w:fill="E69A1F" w:color="auto" w:val="clear"/>
              <w:spacing w:after="40" w:before="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1</w:t>
            </w:r>
          </w:p>
        </w:tc>
        <w:tc>
          <w:tcPr>
            <w:tcW w:type="dxa" w:w="8998"/>
            <w:tcBorders>
              <w:top w:val="none" w:color="FFFFFF" w:sz="0"/>
              <w:left w:val="none" w:color="FFFFFF" w:sz="0"/>
              <w:bottom w:val="single" w:color="E3E8F2" w:sz="4"/>
              <w:right w:val="none" w:color="FFFFFF" w:sz="0"/>
            </w:tcBorders>
            <w:tcMar>
              <w:top w:type="dxa" w:w="40"/>
              <w:left w:type="dxa" w:w="120"/>
              <w:bottom w:type="dxa" w:w="80"/>
              <w:right w:type="dxa" w:w="0"/>
            </w:tcMar>
          </w:tcPr>
          <w:p>
            <w:pPr>
              <w:keepNext/>
              <w:spacing w:after="40"/>
            </w:pPr>
            <w:r>
              <w:rPr>
                <w:rFonts w:ascii="Arial" w:cs="Arial" w:eastAsia="Arial" w:hAnsi="Arial"/>
                <w:b/>
                <w:bCs/>
                <w:color w:val="0A1A45"/>
                <w:sz w:val="21"/>
                <w:szCs w:val="21"/>
              </w:rPr>
              <w:t xml:space="preserve">Obserwuj, jak się pracuje</w:t>
            </w:r>
          </w:p>
          <w:p>
            <w:pPr>
              <w:spacing w:after="20" w:line="264"/>
            </w:pPr>
            <w:r>
              <w:rPr>
                <w:rFonts w:ascii="Arial" w:cs="Arial" w:eastAsia="Arial" w:hAnsi="Arial"/>
                <w:color w:val="1B2233"/>
                <w:sz w:val="20"/>
                <w:szCs w:val="20"/>
              </w:rPr>
              <w:t xml:space="preserve">Przez 15 minut zapisuj, po co operator sięga, idzie lub się schyla. Z tej obserwacji wynika, co ma leżeć najbliżej i w jakiej kolejności.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998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shd w:fill="E69A1F" w:color="auto" w:val="clear"/>
              <w:spacing w:after="40" w:before="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2</w:t>
            </w:r>
          </w:p>
        </w:tc>
        <w:tc>
          <w:tcPr>
            <w:tcW w:type="dxa" w:w="8998"/>
            <w:tcBorders>
              <w:top w:val="none" w:color="FFFFFF" w:sz="0"/>
              <w:left w:val="none" w:color="FFFFFF" w:sz="0"/>
              <w:bottom w:val="single" w:color="E3E8F2" w:sz="4"/>
              <w:right w:val="none" w:color="FFFFFF" w:sz="0"/>
            </w:tcBorders>
            <w:tcMar>
              <w:top w:type="dxa" w:w="40"/>
              <w:left w:type="dxa" w:w="120"/>
              <w:bottom w:type="dxa" w:w="80"/>
              <w:right w:type="dxa" w:w="0"/>
            </w:tcMar>
          </w:tcPr>
          <w:p>
            <w:pPr>
              <w:keepNext/>
              <w:spacing w:after="40"/>
            </w:pPr>
            <w:r>
              <w:rPr>
                <w:rFonts w:ascii="Arial" w:cs="Arial" w:eastAsia="Arial" w:hAnsi="Arial"/>
                <w:b/>
                <w:bCs/>
                <w:color w:val="0A1A45"/>
                <w:sz w:val="21"/>
                <w:szCs w:val="21"/>
              </w:rPr>
              <w:t xml:space="preserve">Przypisz miejsca według częstotliwości i kolejności pracy</w:t>
            </w:r>
          </w:p>
          <w:p>
            <w:pPr>
              <w:spacing w:after="20" w:line="264"/>
            </w:pPr>
            <w:r>
              <w:rPr>
                <w:rFonts w:ascii="Arial" w:cs="Arial" w:eastAsia="Arial" w:hAnsi="Arial"/>
                <w:color w:val="1B2233"/>
                <w:sz w:val="20"/>
                <w:szCs w:val="20"/>
              </w:rPr>
              <w:t xml:space="preserve">Najczęściej używane w zasięgu ramienia, rzadziej w szafce przy stanowisku, najrzadziej w magazynie podręcznym. Narzędzia układaj w kolejności użycia.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998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shd w:fill="E69A1F" w:color="auto" w:val="clear"/>
              <w:spacing w:after="40" w:before="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3</w:t>
            </w:r>
          </w:p>
        </w:tc>
        <w:tc>
          <w:tcPr>
            <w:tcW w:type="dxa" w:w="8998"/>
            <w:tcBorders>
              <w:top w:val="none" w:color="FFFFFF" w:sz="0"/>
              <w:left w:val="none" w:color="FFFFFF" w:sz="0"/>
              <w:bottom w:val="single" w:color="E3E8F2" w:sz="4"/>
              <w:right w:val="none" w:color="FFFFFF" w:sz="0"/>
            </w:tcBorders>
            <w:tcMar>
              <w:top w:type="dxa" w:w="40"/>
              <w:left w:type="dxa" w:w="120"/>
              <w:bottom w:type="dxa" w:w="80"/>
              <w:right w:type="dxa" w:w="0"/>
            </w:tcMar>
          </w:tcPr>
          <w:p>
            <w:pPr>
              <w:keepNext/>
              <w:spacing w:after="40"/>
            </w:pPr>
            <w:r>
              <w:rPr>
                <w:rFonts w:ascii="Arial" w:cs="Arial" w:eastAsia="Arial" w:hAnsi="Arial"/>
                <w:b/>
                <w:bCs/>
                <w:color w:val="0A1A45"/>
                <w:sz w:val="21"/>
                <w:szCs w:val="21"/>
              </w:rPr>
              <w:t xml:space="preserve">Zaadresuj każde miejsce</w:t>
            </w:r>
          </w:p>
          <w:p>
            <w:pPr>
              <w:spacing w:after="20" w:line="264"/>
            </w:pPr>
            <w:r>
              <w:rPr>
                <w:rFonts w:ascii="Arial" w:cs="Arial" w:eastAsia="Arial" w:hAnsi="Arial"/>
                <w:color w:val="1B2233"/>
                <w:sz w:val="20"/>
                <w:szCs w:val="20"/>
              </w:rPr>
              <w:t xml:space="preserve">Kontur lub „cień” narzędzia, etykieta na półce, numer lokalizacji na regale. Etykieta musi być czytelna z 2–3 metrów i odporna na warunki hali. Zasada: </w:t>
            </w:r>
            <w:r>
              <w:rPr>
                <w:rFonts w:ascii="Arial" w:cs="Arial" w:eastAsia="Arial" w:hAnsi="Arial"/>
                <w:b/>
                <w:bCs/>
                <w:color w:val="1B2233"/>
                <w:sz w:val="20"/>
                <w:szCs w:val="20"/>
              </w:rPr>
              <w:t xml:space="preserve">nowa osoba znajduje rzecz bez pytania</w:t>
            </w:r>
            <w:r>
              <w:rPr>
                <w:rFonts w:ascii="Arial" w:cs="Arial" w:eastAsia="Arial" w:hAnsi="Arial"/>
                <w:color w:val="1B2233"/>
                <w:sz w:val="20"/>
                <w:szCs w:val="20"/>
              </w:rPr>
              <w:t xml:space="preserve">.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998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shd w:fill="E69A1F" w:color="auto" w:val="clear"/>
              <w:spacing w:after="40" w:before="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4</w:t>
            </w:r>
          </w:p>
        </w:tc>
        <w:tc>
          <w:tcPr>
            <w:tcW w:type="dxa" w:w="8998"/>
            <w:tcBorders>
              <w:top w:val="none" w:color="FFFFFF" w:sz="0"/>
              <w:left w:val="none" w:color="FFFFFF" w:sz="0"/>
              <w:bottom w:val="single" w:color="E3E8F2" w:sz="4"/>
              <w:right w:val="none" w:color="FFFFFF" w:sz="0"/>
            </w:tcBorders>
            <w:tcMar>
              <w:top w:type="dxa" w:w="40"/>
              <w:left w:type="dxa" w:w="120"/>
              <w:bottom w:type="dxa" w:w="80"/>
              <w:right w:type="dxa" w:w="0"/>
            </w:tcMar>
          </w:tcPr>
          <w:p>
            <w:pPr>
              <w:keepNext/>
              <w:spacing w:after="40"/>
            </w:pPr>
            <w:r>
              <w:rPr>
                <w:rFonts w:ascii="Arial" w:cs="Arial" w:eastAsia="Arial" w:hAnsi="Arial"/>
                <w:b/>
                <w:bCs/>
                <w:color w:val="0A1A45"/>
                <w:sz w:val="21"/>
                <w:szCs w:val="21"/>
              </w:rPr>
              <w:t xml:space="preserve">Wyznacz poziomy min/max</w:t>
            </w:r>
          </w:p>
          <w:p>
            <w:pPr>
              <w:spacing w:after="20" w:line="264"/>
            </w:pPr>
            <w:r>
              <w:rPr>
                <w:rFonts w:ascii="Arial" w:cs="Arial" w:eastAsia="Arial" w:hAnsi="Arial"/>
                <w:color w:val="1B2233"/>
                <w:sz w:val="20"/>
                <w:szCs w:val="20"/>
              </w:rPr>
              <w:t xml:space="preserve">Dla materiałów, półwyrobów i środków eksploatacyjnych oznacz poziom minimalny (sygnał do uzupełnienia) i maksymalny (granica składowania).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998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shd w:fill="E69A1F" w:color="auto" w:val="clear"/>
              <w:spacing w:after="40" w:before="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5</w:t>
            </w:r>
          </w:p>
        </w:tc>
        <w:tc>
          <w:tcPr>
            <w:tcW w:type="dxa" w:w="8998"/>
            <w:tcBorders>
              <w:top w:val="none" w:color="FFFFFF" w:sz="0"/>
              <w:left w:val="none" w:color="FFFFFF" w:sz="0"/>
              <w:bottom w:val="single" w:color="E3E8F2" w:sz="4"/>
              <w:right w:val="none" w:color="FFFFFF" w:sz="0"/>
            </w:tcBorders>
            <w:tcMar>
              <w:top w:type="dxa" w:w="40"/>
              <w:left w:type="dxa" w:w="120"/>
              <w:bottom w:type="dxa" w:w="80"/>
              <w:right w:type="dxa" w:w="0"/>
            </w:tcMar>
          </w:tcPr>
          <w:p>
            <w:pPr>
              <w:keepNext/>
              <w:spacing w:after="40"/>
            </w:pPr>
            <w:r>
              <w:rPr>
                <w:rFonts w:ascii="Arial" w:cs="Arial" w:eastAsia="Arial" w:hAnsi="Arial"/>
                <w:b/>
                <w:bCs/>
                <w:color w:val="0A1A45"/>
                <w:sz w:val="21"/>
                <w:szCs w:val="21"/>
              </w:rPr>
              <w:t xml:space="preserve">Oznacz podłogę i drogi</w:t>
            </w:r>
          </w:p>
          <w:p>
            <w:pPr>
              <w:spacing w:after="20" w:line="264"/>
            </w:pPr>
            <w:r>
              <w:rPr>
                <w:rFonts w:ascii="Arial" w:cs="Arial" w:eastAsia="Arial" w:hAnsi="Arial"/>
                <w:color w:val="1B2233"/>
                <w:sz w:val="20"/>
                <w:szCs w:val="20"/>
              </w:rPr>
              <w:t xml:space="preserve">Strefy składowania, miejsca palet, drogi komunikacyjne, sprzęt ppoż. i wyjścia. Przy doborze kolorów i symboli kieruj się zasadami BHP zakładu i obowiązującymi normami.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998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shd w:fill="E69A1F" w:color="auto" w:val="clear"/>
              <w:spacing w:after="40" w:before="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6</w:t>
            </w:r>
          </w:p>
        </w:tc>
        <w:tc>
          <w:tcPr>
            <w:tcW w:type="dxa" w:w="8998"/>
            <w:tcBorders>
              <w:top w:val="none" w:color="FFFFFF" w:sz="0"/>
              <w:left w:val="none" w:color="FFFFFF" w:sz="0"/>
              <w:bottom w:val="single" w:color="E3E8F2" w:sz="4"/>
              <w:right w:val="none" w:color="FFFFFF" w:sz="0"/>
            </w:tcBorders>
            <w:tcMar>
              <w:top w:type="dxa" w:w="40"/>
              <w:left w:type="dxa" w:w="120"/>
              <w:bottom w:type="dxa" w:w="80"/>
              <w:right w:type="dxa" w:w="0"/>
            </w:tcMar>
          </w:tcPr>
          <w:p>
            <w:pPr>
              <w:keepNext/>
              <w:spacing w:after="40"/>
            </w:pPr>
            <w:r>
              <w:rPr>
                <w:rFonts w:ascii="Arial" w:cs="Arial" w:eastAsia="Arial" w:hAnsi="Arial"/>
                <w:b/>
                <w:bCs/>
                <w:color w:val="0A1A45"/>
                <w:sz w:val="21"/>
                <w:szCs w:val="21"/>
              </w:rPr>
              <w:t xml:space="preserve">Zrób test 30 sekund</w:t>
            </w:r>
          </w:p>
          <w:p>
            <w:pPr>
              <w:spacing w:after="20" w:line="264"/>
            </w:pPr>
            <w:r>
              <w:rPr>
                <w:rFonts w:ascii="Arial" w:cs="Arial" w:eastAsia="Arial" w:hAnsi="Arial"/>
                <w:color w:val="1B2233"/>
                <w:sz w:val="20"/>
                <w:szCs w:val="20"/>
              </w:rPr>
              <w:t xml:space="preserve">Poproś osobę spoza obszaru, aby odnalazła pięć wskazanych przedmiotów i wskazała, czego brakuje. Jeśli zajmuje to ponad kilka sekund na rzecz, system adresów wymaga poprawy.</w:t>
            </w:r>
          </w:p>
        </w:tc>
      </w:tr>
    </w:tbl>
    <w:p>
      <w:pPr>
        <w:pStyle w:val="Heading3"/>
        <w:keepNext/>
        <w:spacing w:after="80" w:before="200"/>
      </w:pPr>
      <w:r>
        <w:rPr>
          <w:rFonts w:ascii="Arial" w:cs="Arial" w:eastAsia="Arial" w:hAnsi="Arial"/>
          <w:b/>
          <w:bCs/>
          <w:color w:val="E69A1F"/>
          <w:sz w:val="22"/>
          <w:szCs w:val="22"/>
        </w:rPr>
        <w:t xml:space="preserve">Przykładowy kod kolorów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838"/>
      </w:tblGrid>
      <w:tr>
        <w:trPr>
          <w:cantSplit/>
          <w:tblHeader/>
        </w:trPr>
        <w:tc>
          <w:tcPr>
            <w:tcW w:type="dxa" w:w="18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0A1A45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Kolor</w:t>
            </w:r>
          </w:p>
        </w:tc>
        <w:tc>
          <w:tcPr>
            <w:tcW w:type="dxa" w:w="78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0A1A45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Typowe zastosowanie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Żółty</w:t>
            </w:r>
          </w:p>
        </w:tc>
        <w:tc>
          <w:tcPr>
            <w:tcW w:type="dxa" w:w="78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Drogi komunikacyjne, granice stref pracy, miejsca postojowe wózków.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Biały</w:t>
            </w:r>
          </w:p>
        </w:tc>
        <w:tc>
          <w:tcPr>
            <w:tcW w:type="dxa" w:w="78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Miejsca składowania wyrobów, palet i pojemników.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Czerwony</w:t>
            </w:r>
          </w:p>
        </w:tc>
        <w:tc>
          <w:tcPr>
            <w:tcW w:type="dxa" w:w="78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Strefa kwarantanny, wyroby wadliwe, sprzęt ppoż.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Niebieski</w:t>
            </w:r>
          </w:p>
        </w:tc>
        <w:tc>
          <w:tcPr>
            <w:tcW w:type="dxa" w:w="78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Materiały i półwyroby oczekujące (np. do kontroli).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Zielony</w:t>
            </w:r>
          </w:p>
        </w:tc>
        <w:tc>
          <w:tcPr>
            <w:tcW w:type="dxa" w:w="78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Wyposażenie bezpieczeństwa, pierwsza pomoc, wyroby zaakceptowane.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Żółto-czarny</w:t>
            </w:r>
          </w:p>
        </w:tc>
        <w:tc>
          <w:tcPr>
            <w:tcW w:type="dxa" w:w="78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Miejsca zagrożenia (krawędzie, przeszkody, strefy ruchu wózków).</w:t>
            </w:r>
          </w:p>
        </w:tc>
      </w:tr>
    </w:tbl>
    <w:p>
      <w:pPr>
        <w:spacing w:after="120" w:before="80" w:line="276"/>
        <w:jc w:val="left"/>
      </w:pPr>
      <w:r>
        <w:rPr>
          <w:rFonts w:ascii="Arial" w:cs="Arial" w:eastAsia="Arial" w:hAnsi="Arial"/>
          <w:color w:val="5B6475"/>
          <w:sz w:val="18"/>
          <w:szCs w:val="18"/>
        </w:rPr>
        <w:t xml:space="preserve">Powyższe to przykład często stosowanych konwencji. Najważniejsza jest jednolitość w całym zakładzie oraz zgodność z wewnętrznymi zasadami BHP.</w:t>
      </w:r>
    </w:p>
    <w:p>
      <w:pPr>
        <w:pStyle w:val="Heading3"/>
        <w:keepNext/>
        <w:spacing w:after="80" w:before="200"/>
      </w:pPr>
      <w:r>
        <w:rPr>
          <w:rFonts w:ascii="Arial" w:cs="Arial" w:eastAsia="Arial" w:hAnsi="Arial"/>
          <w:b/>
          <w:bCs/>
          <w:color w:val="E69A1F"/>
          <w:sz w:val="22"/>
          <w:szCs w:val="22"/>
        </w:rPr>
        <w:t xml:space="preserve">Narzędzia z zestawu</w:t>
      </w:r>
    </w:p>
    <w:p>
      <w:pPr>
        <w:pStyle w:val="ListParagraph"/>
        <w:keepNext/>
        <w:numPr>
          <w:ilvl w:val="0"/>
          <w:numId w:val="3"/>
        </w:numPr>
        <w:spacing w:after="70" w:line="270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Excel: pytania audytu 2.1–2.8.</w:t>
      </w:r>
    </w:p>
    <w:p>
      <w:pPr>
        <w:pStyle w:val="ListParagraph"/>
        <w:keepNext/>
        <w:numPr>
          <w:ilvl w:val="0"/>
          <w:numId w:val="3"/>
        </w:numPr>
        <w:spacing w:after="70" w:line="270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Formularz </w:t>
      </w:r>
      <w:r>
        <w:rPr>
          <w:rFonts w:ascii="Arial" w:cs="Arial" w:eastAsia="Arial" w:hAnsi="Arial"/>
          <w:b/>
          <w:bCs/>
          <w:color w:val="1B2233"/>
          <w:sz w:val="21"/>
          <w:szCs w:val="21"/>
        </w:rPr>
        <w:t xml:space="preserve">Karta standardu „przed / po”</w:t>
      </w:r>
      <w:r>
        <w:rPr>
          <w:rFonts w:ascii="Arial" w:cs="Arial" w:eastAsia="Arial" w:hAnsi="Arial"/>
          <w:color w:val="1B2233"/>
          <w:sz w:val="21"/>
          <w:szCs w:val="21"/>
        </w:rPr>
        <w:t xml:space="preserve"> (PDF A3): miejsce na zdjęcia i opis.</w:t>
      </w:r>
    </w:p>
    <w:p>
      <w:pPr>
        <w:pStyle w:val="ListParagraph"/>
        <w:keepNext w:val="false"/>
        <w:numPr>
          <w:ilvl w:val="0"/>
          <w:numId w:val="3"/>
        </w:numPr>
        <w:spacing w:after="70" w:line="270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Przykładowy kod kolorów (dostosuj do zasad zakładu, tabela powyżej).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E69A1F" w:sz="24"/>
              <w:bottom w:val="none" w:color="FFFFFF" w:sz="0"/>
              <w:right w:val="none" w:color="FFFFFF" w:sz="0"/>
            </w:tcBorders>
            <w:shd w:fill="F7F9FD" w:color="auto" w:val="clear"/>
            <w:tcMar>
              <w:top w:type="dxa" w:w="110"/>
              <w:left w:type="dxa" w:w="200"/>
              <w:bottom w:type="dxa" w:w="90"/>
              <w:right w:type="dxa" w:w="160"/>
            </w:tcMar>
          </w:tcPr>
          <w:p>
            <w:pPr>
              <w:keepNext/>
              <w:spacing w:after="60"/>
            </w:pPr>
            <w:r>
              <w:rPr>
                <w:rFonts w:ascii="Arial" w:cs="Arial" w:eastAsia="Arial" w:hAnsi="Arial"/>
                <w:b/>
                <w:bCs/>
                <w:color w:val="E69A1F"/>
                <w:sz w:val="21"/>
                <w:szCs w:val="21"/>
              </w:rPr>
              <w:t xml:space="preserve">Przykład z hali</w:t>
            </w:r>
          </w:p>
          <w:p>
            <w:pPr>
              <w:spacing w:after="60" w:line="264"/>
            </w:pPr>
            <w:r>
              <w:rPr>
                <w:rFonts w:ascii="Arial" w:cs="Arial" w:eastAsia="Arial" w:hAnsi="Arial"/>
                <w:color w:val="1B2233"/>
                <w:sz w:val="20"/>
                <w:szCs w:val="20"/>
              </w:rPr>
              <w:t xml:space="preserve">W narzędziowni każde narzędzie dostało kontur na tablicy cieni, a każda szuflada etykietę z listą zawartości. Po tygodniu brygadzista zauważył, że po zmianie braki w kluczach widać już na pierwszy rzut oka, bez liczenia.</w:t>
            </w:r>
          </w:p>
        </w:tc>
      </w:tr>
    </w:tbl>
    <w:p>
      <w:pPr>
        <w:pStyle w:val="Heading3"/>
        <w:keepNext/>
        <w:spacing w:after="80" w:before="200"/>
      </w:pPr>
      <w:r>
        <w:rPr>
          <w:rFonts w:ascii="Arial" w:cs="Arial" w:eastAsia="Arial" w:hAnsi="Arial"/>
          <w:b/>
          <w:bCs/>
          <w:color w:val="E69A1F"/>
          <w:sz w:val="22"/>
          <w:szCs w:val="22"/>
        </w:rPr>
        <w:t xml:space="preserve">Typowe błędy</w:t>
      </w:r>
    </w:p>
    <w:p>
      <w:pPr>
        <w:pStyle w:val="ListParagraph"/>
        <w:keepNext/>
        <w:numPr>
          <w:ilvl w:val="0"/>
          <w:numId w:val="3"/>
        </w:numPr>
        <w:spacing w:after="70" w:line="270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Etykiety pisane markerem „na szybko”, które po miesiącu ścierają się lub odpadają.</w:t>
      </w:r>
    </w:p>
    <w:p>
      <w:pPr>
        <w:pStyle w:val="ListParagraph"/>
        <w:keepNext/>
        <w:numPr>
          <w:ilvl w:val="0"/>
          <w:numId w:val="3"/>
        </w:numPr>
        <w:spacing w:after="70" w:line="270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Adresy zrobione według układu magazynu, a nie według kolejności pracy.</w:t>
      </w:r>
    </w:p>
    <w:p>
      <w:pPr>
        <w:pStyle w:val="ListParagraph"/>
        <w:keepNext/>
        <w:numPr>
          <w:ilvl w:val="0"/>
          <w:numId w:val="3"/>
        </w:numPr>
        <w:spacing w:after="70" w:line="270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Brak min/max, więc „porządek” znika, gdy tylko pojawi się dostawa.</w:t>
      </w:r>
    </w:p>
    <w:p>
      <w:pPr>
        <w:pStyle w:val="ListParagraph"/>
        <w:keepNext w:val="false"/>
        <w:numPr>
          <w:ilvl w:val="0"/>
          <w:numId w:val="3"/>
        </w:numPr>
        <w:spacing w:after="70" w:line="270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Oznaczenia kolorystyczne innych w każdym dziale.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E69A1F" w:sz="24"/>
              <w:bottom w:val="none" w:color="FFFFFF" w:sz="0"/>
              <w:right w:val="none" w:color="FFFFFF" w:sz="0"/>
            </w:tcBorders>
            <w:shd w:fill="F4FAF6" w:color="auto" w:val="clear"/>
            <w:tcMar>
              <w:top w:type="dxa" w:w="110"/>
              <w:left w:type="dxa" w:w="200"/>
              <w:bottom w:type="dxa" w:w="90"/>
              <w:right w:type="dxa" w:w="160"/>
            </w:tcMar>
          </w:tcPr>
          <w:p>
            <w:pPr>
              <w:keepNext/>
              <w:spacing w:after="60"/>
            </w:pPr>
            <w:r>
              <w:rPr>
                <w:rFonts w:ascii="Arial" w:cs="Arial" w:eastAsia="Arial" w:hAnsi="Arial"/>
                <w:b/>
                <w:bCs/>
                <w:color w:val="E69A1F"/>
                <w:sz w:val="21"/>
                <w:szCs w:val="21"/>
              </w:rPr>
              <w:t xml:space="preserve">Kryterium zamknięcia 2S</w:t>
            </w:r>
          </w:p>
          <w:p>
            <w:pPr>
              <w:spacing w:after="60" w:line="264"/>
            </w:pPr>
            <w:r>
              <w:rPr>
                <w:rFonts w:ascii="Arial" w:cs="Arial" w:eastAsia="Arial" w:hAnsi="Arial"/>
                <w:color w:val="1B2233"/>
                <w:sz w:val="20"/>
                <w:szCs w:val="20"/>
              </w:rPr>
              <w:t xml:space="preserve">Każdy przedmiot ma stałe miejsce. Test 30 sekund zakończył się powodzeniem. Podłoga i drogi są oznaczone, a sprzęt ppoż. dostępny. Pytania 2.1–2.8 mają średnio co najmniej 3 punkty.</w:t>
            </w:r>
          </w:p>
        </w:tc>
      </w:tr>
    </w:tbl>
    <w:p>
      <w:pPr>
        <w:keepNext w:val="false"/>
        <w:spacing w:after="3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8538"/>
      </w:tblGrid>
      <w:tr>
        <w:trPr>
          <w:cantSplit/>
        </w:trPr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7956B" w:color="auto" w:val="clear"/>
            <w:tcMar>
              <w:top w:type="dxa" w:w="140"/>
              <w:left w:type="dxa" w:w="80"/>
              <w:bottom w:type="dxa" w:w="140"/>
              <w:right w:type="dxa" w:w="8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0"/>
                <w:szCs w:val="40"/>
              </w:rPr>
              <w:t xml:space="preserve">3S</w:t>
            </w:r>
          </w:p>
        </w:tc>
        <w:tc>
          <w:tcPr>
            <w:tcW w:type="dxa" w:w="85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A1A45" w:color="auto" w:val="clear"/>
            <w:tcMar>
              <w:top w:type="dxa" w:w="100"/>
              <w:left w:type="dxa" w:w="200"/>
              <w:bottom w:type="dxa" w:w="100"/>
              <w:right w:type="dxa" w:w="160"/>
            </w:tcMar>
            <w:vAlign w:val="center"/>
          </w:tcPr>
          <w:p>
            <w:pPr>
              <w:keepNext/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30"/>
                <w:szCs w:val="30"/>
              </w:rPr>
              <w:t xml:space="preserve">Sprzątanie</w:t>
            </w:r>
            <w:r>
              <w:rPr>
                <w:rFonts w:ascii="Arial" w:cs="Arial" w:eastAsia="Arial" w:hAnsi="Arial"/>
                <w:color w:val="AFC0E8"/>
                <w:sz w:val="20"/>
                <w:szCs w:val="20"/>
              </w:rPr>
              <w:t xml:space="preserve">   Seiso</w:t>
            </w:r>
          </w:p>
          <w:p>
            <w:pPr>
              <w:keepNext/>
              <w:spacing w:after="0" w:line="252"/>
            </w:pPr>
            <w:r>
              <w:rPr>
                <w:rFonts w:ascii="Arial" w:cs="Arial" w:eastAsia="Arial" w:hAnsi="Arial"/>
                <w:color w:val="DCE6FF"/>
                <w:sz w:val="19"/>
                <w:szCs w:val="19"/>
              </w:rPr>
              <w:t xml:space="preserve">Czystość jest połączona z inspekcją: sprzątając, znajdujemy wycieki, luzy i źródła brudu, a potem je usuwamy.</w:t>
            </w:r>
          </w:p>
        </w:tc>
      </w:tr>
    </w:tbl>
    <w:p>
      <w:pPr>
        <w:keepNext/>
        <w:spacing w:after="80"/>
      </w:pPr>
    </w:p>
    <w:p>
      <w:pPr>
        <w:pStyle w:val="Heading3"/>
        <w:keepNext/>
        <w:spacing w:after="80" w:before="200"/>
      </w:pPr>
      <w:r>
        <w:rPr>
          <w:rFonts w:ascii="Arial" w:cs="Arial" w:eastAsia="Arial" w:hAnsi="Arial"/>
          <w:b/>
          <w:bCs/>
          <w:color w:val="27956B"/>
          <w:sz w:val="22"/>
          <w:szCs w:val="22"/>
        </w:rPr>
        <w:t xml:space="preserve">Jak to robimy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998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shd w:fill="27956B" w:color="auto" w:val="clear"/>
              <w:spacing w:after="40" w:before="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1</w:t>
            </w:r>
          </w:p>
        </w:tc>
        <w:tc>
          <w:tcPr>
            <w:tcW w:type="dxa" w:w="8998"/>
            <w:tcBorders>
              <w:top w:val="none" w:color="FFFFFF" w:sz="0"/>
              <w:left w:val="none" w:color="FFFFFF" w:sz="0"/>
              <w:bottom w:val="single" w:color="E3E8F2" w:sz="4"/>
              <w:right w:val="none" w:color="FFFFFF" w:sz="0"/>
            </w:tcBorders>
            <w:tcMar>
              <w:top w:type="dxa" w:w="40"/>
              <w:left w:type="dxa" w:w="120"/>
              <w:bottom w:type="dxa" w:w="80"/>
              <w:right w:type="dxa" w:w="0"/>
            </w:tcMar>
          </w:tcPr>
          <w:p>
            <w:pPr>
              <w:keepNext/>
              <w:spacing w:after="40"/>
            </w:pPr>
            <w:r>
              <w:rPr>
                <w:rFonts w:ascii="Arial" w:cs="Arial" w:eastAsia="Arial" w:hAnsi="Arial"/>
                <w:b/>
                <w:bCs/>
                <w:color w:val="0A1A45"/>
                <w:sz w:val="21"/>
                <w:szCs w:val="21"/>
              </w:rPr>
              <w:t xml:space="preserve">Wykonaj pierwsze gruntowne sprzątanie jako inspekcję</w:t>
            </w:r>
          </w:p>
          <w:p>
            <w:pPr>
              <w:spacing w:after="20" w:line="264"/>
            </w:pPr>
            <w:r>
              <w:rPr>
                <w:rFonts w:ascii="Arial" w:cs="Arial" w:eastAsia="Arial" w:hAnsi="Arial"/>
                <w:color w:val="1B2233"/>
                <w:sz w:val="20"/>
                <w:szCs w:val="20"/>
              </w:rPr>
              <w:t xml:space="preserve">Jednorazowo wyczyść maszyny, osłony, podłogę, regały i oświetlenie. Przy okazji zapisuj anomalie: wycieki, luzy, pęknięcia, brakujące śruby, nieszczelne węże. To najcenniejszy wynik tej akcji.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998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shd w:fill="27956B" w:color="auto" w:val="clear"/>
              <w:spacing w:after="40" w:before="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2</w:t>
            </w:r>
          </w:p>
        </w:tc>
        <w:tc>
          <w:tcPr>
            <w:tcW w:type="dxa" w:w="8998"/>
            <w:tcBorders>
              <w:top w:val="none" w:color="FFFFFF" w:sz="0"/>
              <w:left w:val="none" w:color="FFFFFF" w:sz="0"/>
              <w:bottom w:val="single" w:color="E3E8F2" w:sz="4"/>
              <w:right w:val="none" w:color="FFFFFF" w:sz="0"/>
            </w:tcBorders>
            <w:tcMar>
              <w:top w:type="dxa" w:w="40"/>
              <w:left w:type="dxa" w:w="120"/>
              <w:bottom w:type="dxa" w:w="80"/>
              <w:right w:type="dxa" w:w="0"/>
            </w:tcMar>
          </w:tcPr>
          <w:p>
            <w:pPr>
              <w:keepNext/>
              <w:spacing w:after="40"/>
            </w:pPr>
            <w:r>
              <w:rPr>
                <w:rFonts w:ascii="Arial" w:cs="Arial" w:eastAsia="Arial" w:hAnsi="Arial"/>
                <w:b/>
                <w:bCs/>
                <w:color w:val="0A1A45"/>
                <w:sz w:val="21"/>
                <w:szCs w:val="21"/>
              </w:rPr>
              <w:t xml:space="preserve">Znajdź źródła zabrudzeń</w:t>
            </w:r>
          </w:p>
          <w:p>
            <w:pPr>
              <w:spacing w:after="20" w:line="264"/>
            </w:pPr>
            <w:r>
              <w:rPr>
                <w:rFonts w:ascii="Arial" w:cs="Arial" w:eastAsia="Arial" w:hAnsi="Arial"/>
                <w:color w:val="1B2233"/>
                <w:sz w:val="20"/>
                <w:szCs w:val="20"/>
              </w:rPr>
              <w:t xml:space="preserve">Dla każdego miejsca, które szybko się brudzi, ustal źródło: wyciek, pył, wióry, przelewanie. Użyj metody 5 Why (narzędzie „5 Whys Worksheet” na processlabpro.com).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998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shd w:fill="27956B" w:color="auto" w:val="clear"/>
              <w:spacing w:after="40" w:before="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3</w:t>
            </w:r>
          </w:p>
        </w:tc>
        <w:tc>
          <w:tcPr>
            <w:tcW w:type="dxa" w:w="8998"/>
            <w:tcBorders>
              <w:top w:val="none" w:color="FFFFFF" w:sz="0"/>
              <w:left w:val="none" w:color="FFFFFF" w:sz="0"/>
              <w:bottom w:val="single" w:color="E3E8F2" w:sz="4"/>
              <w:right w:val="none" w:color="FFFFFF" w:sz="0"/>
            </w:tcBorders>
            <w:tcMar>
              <w:top w:type="dxa" w:w="40"/>
              <w:left w:type="dxa" w:w="120"/>
              <w:bottom w:type="dxa" w:w="80"/>
              <w:right w:type="dxa" w:w="0"/>
            </w:tcMar>
          </w:tcPr>
          <w:p>
            <w:pPr>
              <w:keepNext/>
              <w:spacing w:after="40"/>
            </w:pPr>
            <w:r>
              <w:rPr>
                <w:rFonts w:ascii="Arial" w:cs="Arial" w:eastAsia="Arial" w:hAnsi="Arial"/>
                <w:b/>
                <w:bCs/>
                <w:color w:val="0A1A45"/>
                <w:sz w:val="21"/>
                <w:szCs w:val="21"/>
              </w:rPr>
              <w:t xml:space="preserve">Zbuduj plan sprzątania</w:t>
            </w:r>
          </w:p>
          <w:p>
            <w:pPr>
              <w:spacing w:after="20" w:line="264"/>
            </w:pPr>
            <w:r>
              <w:rPr>
                <w:rFonts w:ascii="Arial" w:cs="Arial" w:eastAsia="Arial" w:hAnsi="Arial"/>
                <w:color w:val="1B2233"/>
                <w:sz w:val="20"/>
                <w:szCs w:val="20"/>
              </w:rPr>
              <w:t xml:space="preserve">Dla każdego obiektu ustal: co, czym, jak, jak często, kto i ile minut. Imienny właściciel jest ważniejszy niż szczegółowy opis. Formularz „Plan sprzątania” (PDF A3) wywieś w obszarze.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998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shd w:fill="27956B" w:color="auto" w:val="clear"/>
              <w:spacing w:after="40" w:before="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4</w:t>
            </w:r>
          </w:p>
        </w:tc>
        <w:tc>
          <w:tcPr>
            <w:tcW w:type="dxa" w:w="8998"/>
            <w:tcBorders>
              <w:top w:val="none" w:color="FFFFFF" w:sz="0"/>
              <w:left w:val="none" w:color="FFFFFF" w:sz="0"/>
              <w:bottom w:val="single" w:color="E3E8F2" w:sz="4"/>
              <w:right w:val="none" w:color="FFFFFF" w:sz="0"/>
            </w:tcBorders>
            <w:tcMar>
              <w:top w:type="dxa" w:w="40"/>
              <w:left w:type="dxa" w:w="120"/>
              <w:bottom w:type="dxa" w:w="80"/>
              <w:right w:type="dxa" w:w="0"/>
            </w:tcMar>
          </w:tcPr>
          <w:p>
            <w:pPr>
              <w:keepNext/>
              <w:spacing w:after="40"/>
            </w:pPr>
            <w:r>
              <w:rPr>
                <w:rFonts w:ascii="Arial" w:cs="Arial" w:eastAsia="Arial" w:hAnsi="Arial"/>
                <w:b/>
                <w:bCs/>
                <w:color w:val="0A1A45"/>
                <w:sz w:val="21"/>
                <w:szCs w:val="21"/>
              </w:rPr>
              <w:t xml:space="preserve">Umieść zestaw sprzątający w obszarze</w:t>
            </w:r>
          </w:p>
          <w:p>
            <w:pPr>
              <w:spacing w:after="20" w:line="264"/>
            </w:pPr>
            <w:r>
              <w:rPr>
                <w:rFonts w:ascii="Arial" w:cs="Arial" w:eastAsia="Arial" w:hAnsi="Arial"/>
                <w:color w:val="1B2233"/>
                <w:sz w:val="20"/>
                <w:szCs w:val="20"/>
              </w:rPr>
              <w:t xml:space="preserve">Miotła, szufla, szmaty, sorbent, odkurzacz: na stałe miejsce, z konturem. Jeśli sprzęt trzeba przynosić, sprzątanie będzie odkładane.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998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shd w:fill="27956B" w:color="auto" w:val="clear"/>
              <w:spacing w:after="40" w:before="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5</w:t>
            </w:r>
          </w:p>
        </w:tc>
        <w:tc>
          <w:tcPr>
            <w:tcW w:type="dxa" w:w="8998"/>
            <w:tcBorders>
              <w:top w:val="none" w:color="FFFFFF" w:sz="0"/>
              <w:left w:val="none" w:color="FFFFFF" w:sz="0"/>
              <w:bottom w:val="single" w:color="E3E8F2" w:sz="4"/>
              <w:right w:val="none" w:color="FFFFFF" w:sz="0"/>
            </w:tcBorders>
            <w:tcMar>
              <w:top w:type="dxa" w:w="40"/>
              <w:left w:type="dxa" w:w="120"/>
              <w:bottom w:type="dxa" w:w="80"/>
              <w:right w:type="dxa" w:w="0"/>
            </w:tcMar>
          </w:tcPr>
          <w:p>
            <w:pPr>
              <w:keepNext/>
              <w:spacing w:after="40"/>
            </w:pPr>
            <w:r>
              <w:rPr>
                <w:rFonts w:ascii="Arial" w:cs="Arial" w:eastAsia="Arial" w:hAnsi="Arial"/>
                <w:b/>
                <w:bCs/>
                <w:color w:val="0A1A45"/>
                <w:sz w:val="21"/>
                <w:szCs w:val="21"/>
              </w:rPr>
              <w:t xml:space="preserve">Usuń źródła zamiast sprzątać skutki</w:t>
            </w:r>
          </w:p>
          <w:p>
            <w:pPr>
              <w:spacing w:after="20" w:line="264"/>
            </w:pPr>
            <w:r>
              <w:rPr>
                <w:rFonts w:ascii="Arial" w:cs="Arial" w:eastAsia="Arial" w:hAnsi="Arial"/>
                <w:color w:val="1B2233"/>
                <w:sz w:val="20"/>
                <w:szCs w:val="20"/>
              </w:rPr>
              <w:t xml:space="preserve">Osłony, tace, odciągi, uszczelnienia. Każde działanie wpisz do planu działań z właścicielem i terminem.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998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shd w:fill="27956B" w:color="auto" w:val="clear"/>
              <w:spacing w:after="40" w:before="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6</w:t>
            </w:r>
          </w:p>
        </w:tc>
        <w:tc>
          <w:tcPr>
            <w:tcW w:type="dxa" w:w="8998"/>
            <w:tcBorders>
              <w:top w:val="none" w:color="FFFFFF" w:sz="0"/>
              <w:left w:val="none" w:color="FFFFFF" w:sz="0"/>
              <w:bottom w:val="single" w:color="E3E8F2" w:sz="4"/>
              <w:right w:val="none" w:color="FFFFFF" w:sz="0"/>
            </w:tcBorders>
            <w:tcMar>
              <w:top w:type="dxa" w:w="40"/>
              <w:left w:type="dxa" w:w="120"/>
              <w:bottom w:type="dxa" w:w="80"/>
              <w:right w:type="dxa" w:w="0"/>
            </w:tcMar>
          </w:tcPr>
          <w:p>
            <w:pPr>
              <w:keepNext/>
              <w:spacing w:after="40"/>
            </w:pPr>
            <w:r>
              <w:rPr>
                <w:rFonts w:ascii="Arial" w:cs="Arial" w:eastAsia="Arial" w:hAnsi="Arial"/>
                <w:b/>
                <w:bCs/>
                <w:color w:val="0A1A45"/>
                <w:sz w:val="21"/>
                <w:szCs w:val="21"/>
              </w:rPr>
              <w:t xml:space="preserve">Zapisz standard czystości</w:t>
            </w:r>
          </w:p>
          <w:p>
            <w:pPr>
              <w:spacing w:after="20" w:line="264"/>
            </w:pPr>
            <w:r>
              <w:rPr>
                <w:rFonts w:ascii="Arial" w:cs="Arial" w:eastAsia="Arial" w:hAnsi="Arial"/>
                <w:color w:val="1B2233"/>
                <w:sz w:val="20"/>
                <w:szCs w:val="20"/>
              </w:rPr>
              <w:t xml:space="preserve">Zdjęcie „czysty” obszar na karcie standardu. Dzięki temu każdy wie, jak wygląda cel.</w:t>
            </w:r>
          </w:p>
        </w:tc>
      </w:tr>
    </w:tbl>
    <w:p>
      <w:pPr>
        <w:pStyle w:val="Heading3"/>
        <w:keepNext/>
        <w:spacing w:after="80" w:before="200"/>
      </w:pPr>
      <w:r>
        <w:rPr>
          <w:rFonts w:ascii="Arial" w:cs="Arial" w:eastAsia="Arial" w:hAnsi="Arial"/>
          <w:b/>
          <w:bCs/>
          <w:color w:val="27956B"/>
          <w:sz w:val="22"/>
          <w:szCs w:val="22"/>
        </w:rPr>
        <w:t xml:space="preserve">Narzędzia z zestawu</w:t>
      </w:r>
    </w:p>
    <w:p>
      <w:pPr>
        <w:pStyle w:val="ListParagraph"/>
        <w:keepNext/>
        <w:numPr>
          <w:ilvl w:val="0"/>
          <w:numId w:val="3"/>
        </w:numPr>
        <w:spacing w:after="70" w:line="270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Formularz: </w:t>
      </w:r>
      <w:r>
        <w:rPr>
          <w:rFonts w:ascii="Arial" w:cs="Arial" w:eastAsia="Arial" w:hAnsi="Arial"/>
          <w:b/>
          <w:bCs/>
          <w:color w:val="1B2233"/>
          <w:sz w:val="21"/>
          <w:szCs w:val="21"/>
        </w:rPr>
        <w:t xml:space="preserve">Plan sprzątania</w:t>
      </w:r>
      <w:r>
        <w:rPr>
          <w:rFonts w:ascii="Arial" w:cs="Arial" w:eastAsia="Arial" w:hAnsi="Arial"/>
          <w:color w:val="1B2233"/>
          <w:sz w:val="21"/>
          <w:szCs w:val="21"/>
        </w:rPr>
        <w:t xml:space="preserve"> (PDF A3).</w:t>
      </w:r>
    </w:p>
    <w:p>
      <w:pPr>
        <w:pStyle w:val="ListParagraph"/>
        <w:keepNext/>
        <w:numPr>
          <w:ilvl w:val="0"/>
          <w:numId w:val="3"/>
        </w:numPr>
        <w:spacing w:after="70" w:line="270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Excel: </w:t>
      </w:r>
      <w:r>
        <w:rPr>
          <w:rFonts w:ascii="Arial" w:cs="Arial" w:eastAsia="Arial" w:hAnsi="Arial"/>
          <w:b/>
          <w:bCs/>
          <w:color w:val="1B2233"/>
          <w:sz w:val="21"/>
          <w:szCs w:val="21"/>
        </w:rPr>
        <w:t xml:space="preserve">Plan_działań</w:t>
      </w:r>
      <w:r>
        <w:rPr>
          <w:rFonts w:ascii="Arial" w:cs="Arial" w:eastAsia="Arial" w:hAnsi="Arial"/>
          <w:color w:val="1B2233"/>
          <w:sz w:val="21"/>
          <w:szCs w:val="21"/>
        </w:rPr>
        <w:t xml:space="preserve">: działania eliminujące źródła zabrudzeń.</w:t>
      </w:r>
    </w:p>
    <w:p>
      <w:pPr>
        <w:pStyle w:val="ListParagraph"/>
        <w:keepNext w:val="false"/>
        <w:numPr>
          <w:ilvl w:val="0"/>
          <w:numId w:val="3"/>
        </w:numPr>
        <w:spacing w:after="70" w:line="270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Excel: pytania audytu 3.1–3.8.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27956B" w:sz="24"/>
              <w:bottom w:val="none" w:color="FFFFFF" w:sz="0"/>
              <w:right w:val="none" w:color="FFFFFF" w:sz="0"/>
            </w:tcBorders>
            <w:shd w:fill="F7F9FD" w:color="auto" w:val="clear"/>
            <w:tcMar>
              <w:top w:type="dxa" w:w="110"/>
              <w:left w:type="dxa" w:w="200"/>
              <w:bottom w:type="dxa" w:w="90"/>
              <w:right w:type="dxa" w:w="160"/>
            </w:tcMar>
          </w:tcPr>
          <w:p>
            <w:pPr>
              <w:keepNext/>
              <w:spacing w:after="60"/>
            </w:pPr>
            <w:r>
              <w:rPr>
                <w:rFonts w:ascii="Arial" w:cs="Arial" w:eastAsia="Arial" w:hAnsi="Arial"/>
                <w:b/>
                <w:bCs/>
                <w:color w:val="27956B"/>
                <w:sz w:val="21"/>
                <w:szCs w:val="21"/>
              </w:rPr>
              <w:t xml:space="preserve">Przykład z hali</w:t>
            </w:r>
          </w:p>
          <w:p>
            <w:pPr>
              <w:spacing w:after="60" w:line="264"/>
            </w:pPr>
            <w:r>
              <w:rPr>
                <w:rFonts w:ascii="Arial" w:cs="Arial" w:eastAsia="Arial" w:hAnsi="Arial"/>
                <w:color w:val="1B2233"/>
                <w:sz w:val="20"/>
                <w:szCs w:val="20"/>
              </w:rPr>
              <w:t xml:space="preserve">Pod agregatem hydraulicznym codziennie pojawiała się plama oleju. Zamiast sprzątać ją co zmianę, zespół wpisał do planu działań wymianę uszczelnienia i dodał tacę wychwytową. Po trzech tygodniach plama zniknęła, a zgłoszenie z sprzątania zapobiegło poważniejszej awarii.</w:t>
            </w:r>
          </w:p>
        </w:tc>
      </w:tr>
    </w:tbl>
    <w:p>
      <w:pPr>
        <w:pStyle w:val="Heading3"/>
        <w:keepNext/>
        <w:spacing w:after="80" w:before="200"/>
      </w:pPr>
      <w:r>
        <w:rPr>
          <w:rFonts w:ascii="Arial" w:cs="Arial" w:eastAsia="Arial" w:hAnsi="Arial"/>
          <w:b/>
          <w:bCs/>
          <w:color w:val="27956B"/>
          <w:sz w:val="22"/>
          <w:szCs w:val="22"/>
        </w:rPr>
        <w:t xml:space="preserve">Typowe błędy</w:t>
      </w:r>
    </w:p>
    <w:p>
      <w:pPr>
        <w:pStyle w:val="ListParagraph"/>
        <w:keepNext/>
        <w:numPr>
          <w:ilvl w:val="0"/>
          <w:numId w:val="3"/>
        </w:numPr>
        <w:spacing w:after="70" w:line="270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Sprzątanie bez inspekcji: brud znika, ale nikt nie zapisuje, skąd się wziął.</w:t>
      </w:r>
    </w:p>
    <w:p>
      <w:pPr>
        <w:pStyle w:val="ListParagraph"/>
        <w:keepNext/>
        <w:numPr>
          <w:ilvl w:val="0"/>
          <w:numId w:val="3"/>
        </w:numPr>
        <w:spacing w:after="70" w:line="270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Rozmyta odpowiedzialność („wszyscy sprzątają”), czyli nikt.</w:t>
      </w:r>
    </w:p>
    <w:p>
      <w:pPr>
        <w:pStyle w:val="ListParagraph"/>
        <w:keepNext/>
        <w:numPr>
          <w:ilvl w:val="0"/>
          <w:numId w:val="3"/>
        </w:numPr>
        <w:spacing w:after="70" w:line="270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Czyszczenie maszyn bez zachowania zasad bezpiecznej obsługi, w tym odłączania i blokowania zasilania zgodnie z procedurą zakładu.</w:t>
      </w:r>
    </w:p>
    <w:p>
      <w:pPr>
        <w:pStyle w:val="ListParagraph"/>
        <w:keepNext w:val="false"/>
        <w:numPr>
          <w:ilvl w:val="0"/>
          <w:numId w:val="3"/>
        </w:numPr>
        <w:spacing w:after="70" w:line="270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Skupienie wyłącznie na podłodze, z pominięciem górnych części maszyn i oświetlenia.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27956B" w:sz="24"/>
              <w:bottom w:val="none" w:color="FFFFFF" w:sz="0"/>
              <w:right w:val="none" w:color="FFFFFF" w:sz="0"/>
            </w:tcBorders>
            <w:shd w:fill="F4FAF6" w:color="auto" w:val="clear"/>
            <w:tcMar>
              <w:top w:type="dxa" w:w="110"/>
              <w:left w:type="dxa" w:w="200"/>
              <w:bottom w:type="dxa" w:w="90"/>
              <w:right w:type="dxa" w:w="160"/>
            </w:tcMar>
          </w:tcPr>
          <w:p>
            <w:pPr>
              <w:keepNext/>
              <w:spacing w:after="60"/>
            </w:pPr>
            <w:r>
              <w:rPr>
                <w:rFonts w:ascii="Arial" w:cs="Arial" w:eastAsia="Arial" w:hAnsi="Arial"/>
                <w:b/>
                <w:bCs/>
                <w:color w:val="27956B"/>
                <w:sz w:val="21"/>
                <w:szCs w:val="21"/>
              </w:rPr>
              <w:t xml:space="preserve">Kryterium zamknięcia 3S</w:t>
            </w:r>
          </w:p>
          <w:p>
            <w:pPr>
              <w:spacing w:after="60" w:line="264"/>
            </w:pPr>
            <w:r>
              <w:rPr>
                <w:rFonts w:ascii="Arial" w:cs="Arial" w:eastAsia="Arial" w:hAnsi="Arial"/>
                <w:color w:val="1B2233"/>
                <w:sz w:val="20"/>
                <w:szCs w:val="20"/>
              </w:rPr>
              <w:t xml:space="preserve">Obszar jest czysty, także w trudno dostępnych miejscach. Plan sprzątania wisi i jest wypełniany. Zidentyfikowano główne źródła zabrudzeń i mają przypisane działania. Pytania 3.1–3.8 mają średnio co najmniej 3 punkty.</w:t>
            </w:r>
          </w:p>
        </w:tc>
      </w:tr>
    </w:tbl>
    <w:p>
      <w:pPr>
        <w:keepNext w:val="false"/>
        <w:spacing w:after="3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8538"/>
      </w:tblGrid>
      <w:tr>
        <w:trPr>
          <w:cantSplit/>
        </w:trPr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F6FE0" w:color="auto" w:val="clear"/>
            <w:tcMar>
              <w:top w:type="dxa" w:w="140"/>
              <w:left w:type="dxa" w:w="80"/>
              <w:bottom w:type="dxa" w:w="140"/>
              <w:right w:type="dxa" w:w="8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0"/>
                <w:szCs w:val="40"/>
              </w:rPr>
              <w:t xml:space="preserve">4S</w:t>
            </w:r>
          </w:p>
        </w:tc>
        <w:tc>
          <w:tcPr>
            <w:tcW w:type="dxa" w:w="85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A1A45" w:color="auto" w:val="clear"/>
            <w:tcMar>
              <w:top w:type="dxa" w:w="100"/>
              <w:left w:type="dxa" w:w="200"/>
              <w:bottom w:type="dxa" w:w="100"/>
              <w:right w:type="dxa" w:w="160"/>
            </w:tcMar>
            <w:vAlign w:val="center"/>
          </w:tcPr>
          <w:p>
            <w:pPr>
              <w:keepNext/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30"/>
                <w:szCs w:val="30"/>
              </w:rPr>
              <w:t xml:space="preserve">Standaryzacja</w:t>
            </w:r>
            <w:r>
              <w:rPr>
                <w:rFonts w:ascii="Arial" w:cs="Arial" w:eastAsia="Arial" w:hAnsi="Arial"/>
                <w:color w:val="AFC0E8"/>
                <w:sz w:val="20"/>
                <w:szCs w:val="20"/>
              </w:rPr>
              <w:t xml:space="preserve">   Seiketsu</w:t>
            </w:r>
          </w:p>
          <w:p>
            <w:pPr>
              <w:keepNext/>
              <w:spacing w:after="0" w:line="252"/>
            </w:pPr>
            <w:r>
              <w:rPr>
                <w:rFonts w:ascii="Arial" w:cs="Arial" w:eastAsia="Arial" w:hAnsi="Arial"/>
                <w:color w:val="DCE6FF"/>
                <w:sz w:val="19"/>
                <w:szCs w:val="19"/>
              </w:rPr>
              <w:t xml:space="preserve">Stan docelowy jest opisany, pokazany na zdjęciach i jednakowy w całym zakładzie, więc nie zależy od pamięci pojedynczych osób.</w:t>
            </w:r>
          </w:p>
        </w:tc>
      </w:tr>
    </w:tbl>
    <w:p>
      <w:pPr>
        <w:keepNext/>
        <w:spacing w:after="80"/>
      </w:pPr>
    </w:p>
    <w:p>
      <w:pPr>
        <w:pStyle w:val="Heading3"/>
        <w:keepNext/>
        <w:spacing w:after="80" w:before="200"/>
      </w:pPr>
      <w:r>
        <w:rPr>
          <w:rFonts w:ascii="Arial" w:cs="Arial" w:eastAsia="Arial" w:hAnsi="Arial"/>
          <w:b/>
          <w:bCs/>
          <w:color w:val="2F6FE0"/>
          <w:sz w:val="22"/>
          <w:szCs w:val="22"/>
        </w:rPr>
        <w:t xml:space="preserve">Jak to robimy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998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shd w:fill="2F6FE0" w:color="auto" w:val="clear"/>
              <w:spacing w:after="40" w:before="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1</w:t>
            </w:r>
          </w:p>
        </w:tc>
        <w:tc>
          <w:tcPr>
            <w:tcW w:type="dxa" w:w="8998"/>
            <w:tcBorders>
              <w:top w:val="none" w:color="FFFFFF" w:sz="0"/>
              <w:left w:val="none" w:color="FFFFFF" w:sz="0"/>
              <w:bottom w:val="single" w:color="E3E8F2" w:sz="4"/>
              <w:right w:val="none" w:color="FFFFFF" w:sz="0"/>
            </w:tcBorders>
            <w:tcMar>
              <w:top w:type="dxa" w:w="40"/>
              <w:left w:type="dxa" w:w="120"/>
              <w:bottom w:type="dxa" w:w="80"/>
              <w:right w:type="dxa" w:w="0"/>
            </w:tcMar>
          </w:tcPr>
          <w:p>
            <w:pPr>
              <w:keepNext/>
              <w:spacing w:after="40"/>
            </w:pPr>
            <w:r>
              <w:rPr>
                <w:rFonts w:ascii="Arial" w:cs="Arial" w:eastAsia="Arial" w:hAnsi="Arial"/>
                <w:b/>
                <w:bCs/>
                <w:color w:val="0A1A45"/>
                <w:sz w:val="21"/>
                <w:szCs w:val="21"/>
              </w:rPr>
              <w:t xml:space="preserve">Spisz standard na jednej stronie</w:t>
            </w:r>
          </w:p>
          <w:p>
            <w:pPr>
              <w:spacing w:after="20" w:line="264"/>
            </w:pPr>
            <w:r>
              <w:rPr>
                <w:rFonts w:ascii="Arial" w:cs="Arial" w:eastAsia="Arial" w:hAnsi="Arial"/>
                <w:color w:val="1B2233"/>
                <w:sz w:val="20"/>
                <w:szCs w:val="20"/>
              </w:rPr>
              <w:t xml:space="preserve">Karta standardu „przed / po” (A3) zawiera zdjęcia stanu docelowego kluczowych punktów obszaru, krótki opis i datę aktualizacji. Zasada: </w:t>
            </w:r>
            <w:r>
              <w:rPr>
                <w:rFonts w:ascii="Arial" w:cs="Arial" w:eastAsia="Arial" w:hAnsi="Arial"/>
                <w:b/>
                <w:bCs/>
                <w:color w:val="1B2233"/>
                <w:sz w:val="20"/>
                <w:szCs w:val="20"/>
              </w:rPr>
              <w:t xml:space="preserve">standard ma być zrozumiały w 1–2 minuty, bez czytania instrukcji</w:t>
            </w:r>
            <w:r>
              <w:rPr>
                <w:rFonts w:ascii="Arial" w:cs="Arial" w:eastAsia="Arial" w:hAnsi="Arial"/>
                <w:color w:val="1B2233"/>
                <w:sz w:val="20"/>
                <w:szCs w:val="20"/>
              </w:rPr>
              <w:t xml:space="preserve">.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998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shd w:fill="2F6FE0" w:color="auto" w:val="clear"/>
              <w:spacing w:after="40" w:before="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2</w:t>
            </w:r>
          </w:p>
        </w:tc>
        <w:tc>
          <w:tcPr>
            <w:tcW w:type="dxa" w:w="8998"/>
            <w:tcBorders>
              <w:top w:val="none" w:color="FFFFFF" w:sz="0"/>
              <w:left w:val="none" w:color="FFFFFF" w:sz="0"/>
              <w:bottom w:val="single" w:color="E3E8F2" w:sz="4"/>
              <w:right w:val="none" w:color="FFFFFF" w:sz="0"/>
            </w:tcBorders>
            <w:tcMar>
              <w:top w:type="dxa" w:w="40"/>
              <w:left w:type="dxa" w:w="120"/>
              <w:bottom w:type="dxa" w:w="80"/>
              <w:right w:type="dxa" w:w="0"/>
            </w:tcMar>
          </w:tcPr>
          <w:p>
            <w:pPr>
              <w:keepNext/>
              <w:spacing w:after="40"/>
            </w:pPr>
            <w:r>
              <w:rPr>
                <w:rFonts w:ascii="Arial" w:cs="Arial" w:eastAsia="Arial" w:hAnsi="Arial"/>
                <w:b/>
                <w:bCs/>
                <w:color w:val="0A1A45"/>
                <w:sz w:val="21"/>
                <w:szCs w:val="21"/>
              </w:rPr>
              <w:t xml:space="preserve">Ujednolić oznaczenia w całym zakładzie</w:t>
            </w:r>
          </w:p>
          <w:p>
            <w:pPr>
              <w:spacing w:after="20" w:line="264"/>
            </w:pPr>
            <w:r>
              <w:rPr>
                <w:rFonts w:ascii="Arial" w:cs="Arial" w:eastAsia="Arial" w:hAnsi="Arial"/>
                <w:color w:val="1B2233"/>
                <w:sz w:val="20"/>
                <w:szCs w:val="20"/>
              </w:rPr>
              <w:t xml:space="preserve">Te same kolory, symbole i format etykiet w sąsiednich obszarach. Spisz je w jednym dokumencie zakładowym i wywieś w miejscu wspólnym.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998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shd w:fill="2F6FE0" w:color="auto" w:val="clear"/>
              <w:spacing w:after="40" w:before="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3</w:t>
            </w:r>
          </w:p>
        </w:tc>
        <w:tc>
          <w:tcPr>
            <w:tcW w:type="dxa" w:w="8998"/>
            <w:tcBorders>
              <w:top w:val="none" w:color="FFFFFF" w:sz="0"/>
              <w:left w:val="none" w:color="FFFFFF" w:sz="0"/>
              <w:bottom w:val="single" w:color="E3E8F2" w:sz="4"/>
              <w:right w:val="none" w:color="FFFFFF" w:sz="0"/>
            </w:tcBorders>
            <w:tcMar>
              <w:top w:type="dxa" w:w="40"/>
              <w:left w:type="dxa" w:w="120"/>
              <w:bottom w:type="dxa" w:w="80"/>
              <w:right w:type="dxa" w:w="0"/>
            </w:tcMar>
          </w:tcPr>
          <w:p>
            <w:pPr>
              <w:keepNext/>
              <w:spacing w:after="40"/>
            </w:pPr>
            <w:r>
              <w:rPr>
                <w:rFonts w:ascii="Arial" w:cs="Arial" w:eastAsia="Arial" w:hAnsi="Arial"/>
                <w:b/>
                <w:bCs/>
                <w:color w:val="0A1A45"/>
                <w:sz w:val="21"/>
                <w:szCs w:val="21"/>
              </w:rPr>
              <w:t xml:space="preserve">Przypisz role</w:t>
            </w:r>
          </w:p>
          <w:p>
            <w:pPr>
              <w:spacing w:after="20" w:line="264"/>
            </w:pPr>
            <w:r>
              <w:rPr>
                <w:rFonts w:ascii="Arial" w:cs="Arial" w:eastAsia="Arial" w:hAnsi="Arial"/>
                <w:color w:val="1B2233"/>
                <w:sz w:val="20"/>
                <w:szCs w:val="20"/>
              </w:rPr>
              <w:t xml:space="preserve">Właściciel obszaru (osoba odpowiedzialna za wynik), lider 5S, osoby odpowiedzialne za strefy. Imiona na tablicy w obszarze.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998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shd w:fill="2F6FE0" w:color="auto" w:val="clear"/>
              <w:spacing w:after="40" w:before="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4</w:t>
            </w:r>
          </w:p>
        </w:tc>
        <w:tc>
          <w:tcPr>
            <w:tcW w:type="dxa" w:w="8998"/>
            <w:tcBorders>
              <w:top w:val="none" w:color="FFFFFF" w:sz="0"/>
              <w:left w:val="none" w:color="FFFFFF" w:sz="0"/>
              <w:bottom w:val="single" w:color="E3E8F2" w:sz="4"/>
              <w:right w:val="none" w:color="FFFFFF" w:sz="0"/>
            </w:tcBorders>
            <w:tcMar>
              <w:top w:type="dxa" w:w="40"/>
              <w:left w:type="dxa" w:w="120"/>
              <w:bottom w:type="dxa" w:w="80"/>
              <w:right w:type="dxa" w:w="0"/>
            </w:tcMar>
          </w:tcPr>
          <w:p>
            <w:pPr>
              <w:keepNext/>
              <w:spacing w:after="40"/>
            </w:pPr>
            <w:r>
              <w:rPr>
                <w:rFonts w:ascii="Arial" w:cs="Arial" w:eastAsia="Arial" w:hAnsi="Arial"/>
                <w:b/>
                <w:bCs/>
                <w:color w:val="0A1A45"/>
                <w:sz w:val="21"/>
                <w:szCs w:val="21"/>
              </w:rPr>
              <w:t xml:space="preserve">Wprowadź 5-minutową kontrolę codzienną</w:t>
            </w:r>
          </w:p>
          <w:p>
            <w:pPr>
              <w:spacing w:after="20" w:line="264"/>
            </w:pPr>
            <w:r>
              <w:rPr>
                <w:rFonts w:ascii="Arial" w:cs="Arial" w:eastAsia="Arial" w:hAnsi="Arial"/>
                <w:color w:val="1B2233"/>
                <w:sz w:val="20"/>
                <w:szCs w:val="20"/>
              </w:rPr>
              <w:t xml:space="preserve">Lista kontrolna 8 punktów wypełniana przez operatora na koniec zmiany (formularz w zestawie, załącznik B). Odchylenia zapisuj w planie działań.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998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shd w:fill="2F6FE0" w:color="auto" w:val="clear"/>
              <w:spacing w:after="40" w:before="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5</w:t>
            </w:r>
          </w:p>
        </w:tc>
        <w:tc>
          <w:tcPr>
            <w:tcW w:type="dxa" w:w="8998"/>
            <w:tcBorders>
              <w:top w:val="none" w:color="FFFFFF" w:sz="0"/>
              <w:left w:val="none" w:color="FFFFFF" w:sz="0"/>
              <w:bottom w:val="single" w:color="E3E8F2" w:sz="4"/>
              <w:right w:val="none" w:color="FFFFFF" w:sz="0"/>
            </w:tcBorders>
            <w:tcMar>
              <w:top w:type="dxa" w:w="40"/>
              <w:left w:type="dxa" w:w="120"/>
              <w:bottom w:type="dxa" w:w="80"/>
              <w:right w:type="dxa" w:w="0"/>
            </w:tcMar>
          </w:tcPr>
          <w:p>
            <w:pPr>
              <w:keepNext/>
              <w:spacing w:after="40"/>
            </w:pPr>
            <w:r>
              <w:rPr>
                <w:rFonts w:ascii="Arial" w:cs="Arial" w:eastAsia="Arial" w:hAnsi="Arial"/>
                <w:b/>
                <w:bCs/>
                <w:color w:val="0A1A45"/>
                <w:sz w:val="21"/>
                <w:szCs w:val="21"/>
              </w:rPr>
              <w:t xml:space="preserve">Uruchom tablicę 5S</w:t>
            </w:r>
          </w:p>
          <w:p>
            <w:pPr>
              <w:spacing w:after="20" w:line="264"/>
            </w:pPr>
            <w:r>
              <w:rPr>
                <w:rFonts w:ascii="Arial" w:cs="Arial" w:eastAsia="Arial" w:hAnsi="Arial"/>
                <w:color w:val="1B2233"/>
                <w:sz w:val="20"/>
                <w:szCs w:val="20"/>
              </w:rPr>
              <w:t xml:space="preserve">Wywieś: aktualny wynik i trend, 3 najważniejsze działania, zdjęcia „przed i po”, imię właściciela obszaru, datę następnego audytu.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998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shd w:fill="2F6FE0" w:color="auto" w:val="clear"/>
              <w:spacing w:after="40" w:before="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6</w:t>
            </w:r>
          </w:p>
        </w:tc>
        <w:tc>
          <w:tcPr>
            <w:tcW w:type="dxa" w:w="8998"/>
            <w:tcBorders>
              <w:top w:val="none" w:color="FFFFFF" w:sz="0"/>
              <w:left w:val="none" w:color="FFFFFF" w:sz="0"/>
              <w:bottom w:val="single" w:color="E3E8F2" w:sz="4"/>
              <w:right w:val="none" w:color="FFFFFF" w:sz="0"/>
            </w:tcBorders>
            <w:tcMar>
              <w:top w:type="dxa" w:w="40"/>
              <w:left w:type="dxa" w:w="120"/>
              <w:bottom w:type="dxa" w:w="80"/>
              <w:right w:type="dxa" w:w="0"/>
            </w:tcMar>
          </w:tcPr>
          <w:p>
            <w:pPr>
              <w:keepNext/>
              <w:spacing w:after="40"/>
            </w:pPr>
            <w:r>
              <w:rPr>
                <w:rFonts w:ascii="Arial" w:cs="Arial" w:eastAsia="Arial" w:hAnsi="Arial"/>
                <w:b/>
                <w:bCs/>
                <w:color w:val="0A1A45"/>
                <w:sz w:val="21"/>
                <w:szCs w:val="21"/>
              </w:rPr>
              <w:t xml:space="preserve">Wbuduj 5S w istniejące procesy</w:t>
            </w:r>
          </w:p>
          <w:p>
            <w:pPr>
              <w:spacing w:after="20" w:line="264"/>
            </w:pPr>
            <w:r>
              <w:rPr>
                <w:rFonts w:ascii="Arial" w:cs="Arial" w:eastAsia="Arial" w:hAnsi="Arial"/>
                <w:color w:val="1B2233"/>
                <w:sz w:val="20"/>
                <w:szCs w:val="20"/>
              </w:rPr>
              <w:t xml:space="preserve">Szkolenie nowych pracowników ze standardu obszaru, zmiany układu stanowisk (wymagają aktualizacji standardu), zakup nowych narzędzi (każde ma od razu swoje miejsce).</w:t>
            </w:r>
          </w:p>
        </w:tc>
      </w:tr>
    </w:tbl>
    <w:p>
      <w:pPr>
        <w:pStyle w:val="Heading3"/>
        <w:keepNext/>
        <w:spacing w:after="80" w:before="200"/>
      </w:pPr>
      <w:r>
        <w:rPr>
          <w:rFonts w:ascii="Arial" w:cs="Arial" w:eastAsia="Arial" w:hAnsi="Arial"/>
          <w:b/>
          <w:bCs/>
          <w:color w:val="2F6FE0"/>
          <w:sz w:val="22"/>
          <w:szCs w:val="22"/>
        </w:rPr>
        <w:t xml:space="preserve">Narzędzia z zestawu</w:t>
      </w:r>
    </w:p>
    <w:p>
      <w:pPr>
        <w:pStyle w:val="ListParagraph"/>
        <w:keepNext/>
        <w:numPr>
          <w:ilvl w:val="0"/>
          <w:numId w:val="3"/>
        </w:numPr>
        <w:spacing w:after="70" w:line="270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Formularze: </w:t>
      </w:r>
      <w:r>
        <w:rPr>
          <w:rFonts w:ascii="Arial" w:cs="Arial" w:eastAsia="Arial" w:hAnsi="Arial"/>
          <w:b/>
          <w:bCs/>
          <w:color w:val="1B2233"/>
          <w:sz w:val="21"/>
          <w:szCs w:val="21"/>
        </w:rPr>
        <w:t xml:space="preserve">Karta standardu przed/po</w:t>
      </w:r>
      <w:r>
        <w:rPr>
          <w:rFonts w:ascii="Arial" w:cs="Arial" w:eastAsia="Arial" w:hAnsi="Arial"/>
          <w:color w:val="1B2233"/>
          <w:sz w:val="21"/>
          <w:szCs w:val="21"/>
        </w:rPr>
        <w:t xml:space="preserve"> i </w:t>
      </w:r>
      <w:r>
        <w:rPr>
          <w:rFonts w:ascii="Arial" w:cs="Arial" w:eastAsia="Arial" w:hAnsi="Arial"/>
          <w:b/>
          <w:bCs/>
          <w:color w:val="1B2233"/>
          <w:sz w:val="21"/>
          <w:szCs w:val="21"/>
        </w:rPr>
        <w:t xml:space="preserve">Tablica wyników 5S</w:t>
      </w:r>
      <w:r>
        <w:rPr>
          <w:rFonts w:ascii="Arial" w:cs="Arial" w:eastAsia="Arial" w:hAnsi="Arial"/>
          <w:color w:val="1B2233"/>
          <w:sz w:val="21"/>
          <w:szCs w:val="21"/>
        </w:rPr>
        <w:t xml:space="preserve"> (PDF A3).</w:t>
      </w:r>
    </w:p>
    <w:p>
      <w:pPr>
        <w:pStyle w:val="ListParagraph"/>
        <w:keepNext/>
        <w:numPr>
          <w:ilvl w:val="0"/>
          <w:numId w:val="3"/>
        </w:numPr>
        <w:spacing w:after="70" w:line="270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Formularz: </w:t>
      </w:r>
      <w:r>
        <w:rPr>
          <w:rFonts w:ascii="Arial" w:cs="Arial" w:eastAsia="Arial" w:hAnsi="Arial"/>
          <w:b/>
          <w:bCs/>
          <w:color w:val="1B2233"/>
          <w:sz w:val="21"/>
          <w:szCs w:val="21"/>
        </w:rPr>
        <w:t xml:space="preserve">Lista kontrolna 5 minut</w:t>
      </w:r>
      <w:r>
        <w:rPr>
          <w:rFonts w:ascii="Arial" w:cs="Arial" w:eastAsia="Arial" w:hAnsi="Arial"/>
          <w:color w:val="1B2233"/>
          <w:sz w:val="21"/>
          <w:szCs w:val="21"/>
        </w:rPr>
        <w:t xml:space="preserve"> (PDF A4).</w:t>
      </w:r>
    </w:p>
    <w:p>
      <w:pPr>
        <w:pStyle w:val="ListParagraph"/>
        <w:keepNext w:val="false"/>
        <w:numPr>
          <w:ilvl w:val="0"/>
          <w:numId w:val="3"/>
        </w:numPr>
        <w:spacing w:after="70" w:line="270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Excel: pytania audytu 4.1–4.8.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2F6FE0" w:sz="24"/>
              <w:bottom w:val="none" w:color="FFFFFF" w:sz="0"/>
              <w:right w:val="none" w:color="FFFFFF" w:sz="0"/>
            </w:tcBorders>
            <w:shd w:fill="F7F9FD" w:color="auto" w:val="clear"/>
            <w:tcMar>
              <w:top w:type="dxa" w:w="110"/>
              <w:left w:type="dxa" w:w="200"/>
              <w:bottom w:type="dxa" w:w="90"/>
              <w:right w:type="dxa" w:w="160"/>
            </w:tcMar>
          </w:tcPr>
          <w:p>
            <w:pPr>
              <w:keepNext/>
              <w:spacing w:after="60"/>
            </w:pPr>
            <w:r>
              <w:rPr>
                <w:rFonts w:ascii="Arial" w:cs="Arial" w:eastAsia="Arial" w:hAnsi="Arial"/>
                <w:b/>
                <w:bCs/>
                <w:color w:val="2F6FE0"/>
                <w:sz w:val="21"/>
                <w:szCs w:val="21"/>
              </w:rPr>
              <w:t xml:space="preserve">Przykład z hali</w:t>
            </w:r>
          </w:p>
          <w:p>
            <w:pPr>
              <w:spacing w:after="60" w:line="264"/>
            </w:pPr>
            <w:r>
              <w:rPr>
                <w:rFonts w:ascii="Arial" w:cs="Arial" w:eastAsia="Arial" w:hAnsi="Arial"/>
                <w:color w:val="1B2233"/>
                <w:sz w:val="20"/>
                <w:szCs w:val="20"/>
              </w:rPr>
              <w:t xml:space="preserve">W obszarze montażu wywieszono trzy zdjęcia standardowe (stanowisko, wózek z materiałem, szafka). Nowy pracownik dostał je podczas pierwszego dnia i po kilku godzinach sam utrzymywał układ. Kierownik zmiany użył zdjęć do porównania stanu rano i po zmianie.</w:t>
            </w:r>
          </w:p>
        </w:tc>
      </w:tr>
    </w:tbl>
    <w:p>
      <w:pPr>
        <w:pStyle w:val="Heading3"/>
        <w:keepNext/>
        <w:spacing w:after="80" w:before="200"/>
      </w:pPr>
      <w:r>
        <w:rPr>
          <w:rFonts w:ascii="Arial" w:cs="Arial" w:eastAsia="Arial" w:hAnsi="Arial"/>
          <w:b/>
          <w:bCs/>
          <w:color w:val="2F6FE0"/>
          <w:sz w:val="22"/>
          <w:szCs w:val="22"/>
        </w:rPr>
        <w:t xml:space="preserve">Typowe błędy</w:t>
      </w:r>
    </w:p>
    <w:p>
      <w:pPr>
        <w:pStyle w:val="ListParagraph"/>
        <w:keepNext/>
        <w:numPr>
          <w:ilvl w:val="0"/>
          <w:numId w:val="3"/>
        </w:numPr>
        <w:spacing w:after="70" w:line="270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Standard w formie wielostronicowego dokumentu, którego nikt nie czyta.</w:t>
      </w:r>
    </w:p>
    <w:p>
      <w:pPr>
        <w:pStyle w:val="ListParagraph"/>
        <w:keepNext/>
        <w:numPr>
          <w:ilvl w:val="0"/>
          <w:numId w:val="3"/>
        </w:numPr>
        <w:spacing w:after="70" w:line="270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Zdjęcia, które po przebudowie stanowiska nie odpowiadają rzeczywistości.</w:t>
      </w:r>
    </w:p>
    <w:p>
      <w:pPr>
        <w:pStyle w:val="ListParagraph"/>
        <w:keepNext/>
        <w:numPr>
          <w:ilvl w:val="0"/>
          <w:numId w:val="3"/>
        </w:numPr>
        <w:spacing w:after="70" w:line="270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Lista kontrolna wypełniana „hurtem” w piątek lub przed audytem. Zamiast listy dzień po dniu ze zmiany pojawia się papier bez wartości.</w:t>
      </w:r>
    </w:p>
    <w:p>
      <w:pPr>
        <w:pStyle w:val="ListParagraph"/>
        <w:keepNext w:val="false"/>
        <w:numPr>
          <w:ilvl w:val="0"/>
          <w:numId w:val="3"/>
        </w:numPr>
        <w:spacing w:after="70" w:line="270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Różne zasady oznaczeń w różnych działach.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2F6FE0" w:sz="24"/>
              <w:bottom w:val="none" w:color="FFFFFF" w:sz="0"/>
              <w:right w:val="none" w:color="FFFFFF" w:sz="0"/>
            </w:tcBorders>
            <w:shd w:fill="F4FAF6" w:color="auto" w:val="clear"/>
            <w:tcMar>
              <w:top w:type="dxa" w:w="110"/>
              <w:left w:type="dxa" w:w="200"/>
              <w:bottom w:type="dxa" w:w="90"/>
              <w:right w:type="dxa" w:w="160"/>
            </w:tcMar>
          </w:tcPr>
          <w:p>
            <w:pPr>
              <w:keepNext/>
              <w:spacing w:after="60"/>
            </w:pPr>
            <w:r>
              <w:rPr>
                <w:rFonts w:ascii="Arial" w:cs="Arial" w:eastAsia="Arial" w:hAnsi="Arial"/>
                <w:b/>
                <w:bCs/>
                <w:color w:val="2F6FE0"/>
                <w:sz w:val="21"/>
                <w:szCs w:val="21"/>
              </w:rPr>
              <w:t xml:space="preserve">Kryterium zamknięcia 4S</w:t>
            </w:r>
          </w:p>
          <w:p>
            <w:pPr>
              <w:spacing w:after="60" w:line="264"/>
            </w:pPr>
            <w:r>
              <w:rPr>
                <w:rFonts w:ascii="Arial" w:cs="Arial" w:eastAsia="Arial" w:hAnsi="Arial"/>
                <w:color w:val="1B2233"/>
                <w:sz w:val="20"/>
                <w:szCs w:val="20"/>
              </w:rPr>
              <w:t xml:space="preserve">Standard wizualny wisi w obszarze i jest aktualny. Role są znane. Lista 5-minutowa jest wypełniana codziennie przez operatorów. Tablica 5S jest uzupełniana. Pytania 4.1–4.8 mają średnio co najmniej 3 punkty.</w:t>
            </w:r>
          </w:p>
        </w:tc>
      </w:tr>
    </w:tbl>
    <w:p>
      <w:pPr>
        <w:keepNext w:val="false"/>
        <w:spacing w:after="3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8538"/>
      </w:tblGrid>
      <w:tr>
        <w:trPr>
          <w:cantSplit/>
        </w:trPr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7050C8" w:color="auto" w:val="clear"/>
            <w:tcMar>
              <w:top w:type="dxa" w:w="140"/>
              <w:left w:type="dxa" w:w="80"/>
              <w:bottom w:type="dxa" w:w="140"/>
              <w:right w:type="dxa" w:w="80"/>
            </w:tcMar>
            <w:vAlign w:val="center"/>
          </w:tcPr>
          <w:p>
            <w:pPr>
              <w:keepNext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0"/>
                <w:szCs w:val="40"/>
              </w:rPr>
              <w:t xml:space="preserve">5S</w:t>
            </w:r>
          </w:p>
        </w:tc>
        <w:tc>
          <w:tcPr>
            <w:tcW w:type="dxa" w:w="85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A1A45" w:color="auto" w:val="clear"/>
            <w:tcMar>
              <w:top w:type="dxa" w:w="100"/>
              <w:left w:type="dxa" w:w="200"/>
              <w:bottom w:type="dxa" w:w="100"/>
              <w:right w:type="dxa" w:w="160"/>
            </w:tcMar>
            <w:vAlign w:val="center"/>
          </w:tcPr>
          <w:p>
            <w:pPr>
              <w:keepNext/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30"/>
                <w:szCs w:val="30"/>
              </w:rPr>
              <w:t xml:space="preserve">Samodyscyplina</w:t>
            </w:r>
            <w:r>
              <w:rPr>
                <w:rFonts w:ascii="Arial" w:cs="Arial" w:eastAsia="Arial" w:hAnsi="Arial"/>
                <w:color w:val="AFC0E8"/>
                <w:sz w:val="20"/>
                <w:szCs w:val="20"/>
              </w:rPr>
              <w:t xml:space="preserve">   Shitsuke</w:t>
            </w:r>
          </w:p>
          <w:p>
            <w:pPr>
              <w:keepNext/>
              <w:spacing w:after="0" w:line="252"/>
            </w:pPr>
            <w:r>
              <w:rPr>
                <w:rFonts w:ascii="Arial" w:cs="Arial" w:eastAsia="Arial" w:hAnsi="Arial"/>
                <w:color w:val="DCE6FF"/>
                <w:sz w:val="19"/>
                <w:szCs w:val="19"/>
              </w:rPr>
              <w:t xml:space="preserve">Porządek jest nawykiem zespołu, a nie akcją przed audytem. Kierownictwo go widzi, mierzy i wspiera.</w:t>
            </w:r>
          </w:p>
        </w:tc>
      </w:tr>
    </w:tbl>
    <w:p>
      <w:pPr>
        <w:keepNext/>
        <w:spacing w:after="80"/>
      </w:pPr>
    </w:p>
    <w:p>
      <w:pPr>
        <w:pStyle w:val="Heading3"/>
        <w:keepNext/>
        <w:spacing w:after="80" w:before="200"/>
      </w:pPr>
      <w:r>
        <w:rPr>
          <w:rFonts w:ascii="Arial" w:cs="Arial" w:eastAsia="Arial" w:hAnsi="Arial"/>
          <w:b/>
          <w:bCs/>
          <w:color w:val="7050C8"/>
          <w:sz w:val="22"/>
          <w:szCs w:val="22"/>
        </w:rPr>
        <w:t xml:space="preserve">Jak to robimy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998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shd w:fill="7050C8" w:color="auto" w:val="clear"/>
              <w:spacing w:after="40" w:before="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1</w:t>
            </w:r>
          </w:p>
        </w:tc>
        <w:tc>
          <w:tcPr>
            <w:tcW w:type="dxa" w:w="8998"/>
            <w:tcBorders>
              <w:top w:val="none" w:color="FFFFFF" w:sz="0"/>
              <w:left w:val="none" w:color="FFFFFF" w:sz="0"/>
              <w:bottom w:val="single" w:color="E3E8F2" w:sz="4"/>
              <w:right w:val="none" w:color="FFFFFF" w:sz="0"/>
            </w:tcBorders>
            <w:tcMar>
              <w:top w:type="dxa" w:w="40"/>
              <w:left w:type="dxa" w:w="120"/>
              <w:bottom w:type="dxa" w:w="80"/>
              <w:right w:type="dxa" w:w="0"/>
            </w:tcMar>
          </w:tcPr>
          <w:p>
            <w:pPr>
              <w:keepNext/>
              <w:spacing w:after="40"/>
            </w:pPr>
            <w:r>
              <w:rPr>
                <w:rFonts w:ascii="Arial" w:cs="Arial" w:eastAsia="Arial" w:hAnsi="Arial"/>
                <w:b/>
                <w:bCs/>
                <w:color w:val="0A1A45"/>
                <w:sz w:val="21"/>
                <w:szCs w:val="21"/>
              </w:rPr>
              <w:t xml:space="preserve">Ustal rytm 5S</w:t>
            </w:r>
          </w:p>
          <w:p>
            <w:pPr>
              <w:spacing w:after="20" w:line="264"/>
            </w:pPr>
            <w:r>
              <w:rPr>
                <w:rFonts w:ascii="Arial" w:cs="Arial" w:eastAsia="Arial" w:hAnsi="Arial"/>
                <w:color w:val="1B2233"/>
                <w:sz w:val="20"/>
                <w:szCs w:val="20"/>
              </w:rPr>
              <w:t xml:space="preserve">Codzienna kontrola (5 minut), cotygodniowy przegląd lidera, miesięczny audyt formalny, kwartalny audyt krzyżowy, roczny przegląd standardów (rozdział 8). Rytm zapisz i wpisz do harmonogramu audytów w Excelu.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998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shd w:fill="7050C8" w:color="auto" w:val="clear"/>
              <w:spacing w:after="40" w:before="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2</w:t>
            </w:r>
          </w:p>
        </w:tc>
        <w:tc>
          <w:tcPr>
            <w:tcW w:type="dxa" w:w="8998"/>
            <w:tcBorders>
              <w:top w:val="none" w:color="FFFFFF" w:sz="0"/>
              <w:left w:val="none" w:color="FFFFFF" w:sz="0"/>
              <w:bottom w:val="single" w:color="E3E8F2" w:sz="4"/>
              <w:right w:val="none" w:color="FFFFFF" w:sz="0"/>
            </w:tcBorders>
            <w:tcMar>
              <w:top w:type="dxa" w:w="40"/>
              <w:left w:type="dxa" w:w="120"/>
              <w:bottom w:type="dxa" w:w="80"/>
              <w:right w:type="dxa" w:w="0"/>
            </w:tcMar>
          </w:tcPr>
          <w:p>
            <w:pPr>
              <w:keepNext/>
              <w:spacing w:after="40"/>
            </w:pPr>
            <w:r>
              <w:rPr>
                <w:rFonts w:ascii="Arial" w:cs="Arial" w:eastAsia="Arial" w:hAnsi="Arial"/>
                <w:b/>
                <w:bCs/>
                <w:color w:val="0A1A45"/>
                <w:sz w:val="21"/>
                <w:szCs w:val="21"/>
              </w:rPr>
              <w:t xml:space="preserve">Zaangażuj kierownictwo na hali</w:t>
            </w:r>
          </w:p>
          <w:p>
            <w:pPr>
              <w:spacing w:after="20" w:line="264"/>
            </w:pPr>
            <w:r>
              <w:rPr>
                <w:rFonts w:ascii="Arial" w:cs="Arial" w:eastAsia="Arial" w:hAnsi="Arial"/>
                <w:color w:val="1B2233"/>
                <w:sz w:val="20"/>
                <w:szCs w:val="20"/>
              </w:rPr>
              <w:t xml:space="preserve">Cotygodniowa wizyta kierownika w jednym obszarze (gemba), z 3–4 konkretnymi pytaniami i decyzjami na miejscu. Samodyscyplina zespołu rośnie tam, gdzie widać zainteresowanie przełożonych.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998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shd w:fill="7050C8" w:color="auto" w:val="clear"/>
              <w:spacing w:after="40" w:before="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3</w:t>
            </w:r>
          </w:p>
        </w:tc>
        <w:tc>
          <w:tcPr>
            <w:tcW w:type="dxa" w:w="8998"/>
            <w:tcBorders>
              <w:top w:val="none" w:color="FFFFFF" w:sz="0"/>
              <w:left w:val="none" w:color="FFFFFF" w:sz="0"/>
              <w:bottom w:val="single" w:color="E3E8F2" w:sz="4"/>
              <w:right w:val="none" w:color="FFFFFF" w:sz="0"/>
            </w:tcBorders>
            <w:tcMar>
              <w:top w:type="dxa" w:w="40"/>
              <w:left w:type="dxa" w:w="120"/>
              <w:bottom w:type="dxa" w:w="80"/>
              <w:right w:type="dxa" w:w="0"/>
            </w:tcMar>
          </w:tcPr>
          <w:p>
            <w:pPr>
              <w:keepNext/>
              <w:spacing w:after="40"/>
            </w:pPr>
            <w:r>
              <w:rPr>
                <w:rFonts w:ascii="Arial" w:cs="Arial" w:eastAsia="Arial" w:hAnsi="Arial"/>
                <w:b/>
                <w:bCs/>
                <w:color w:val="0A1A45"/>
                <w:sz w:val="21"/>
                <w:szCs w:val="21"/>
              </w:rPr>
              <w:t xml:space="preserve">Domykaj działania w terminie</w:t>
            </w:r>
          </w:p>
          <w:p>
            <w:pPr>
              <w:spacing w:after="20" w:line="264"/>
            </w:pPr>
            <w:r>
              <w:rPr>
                <w:rFonts w:ascii="Arial" w:cs="Arial" w:eastAsia="Arial" w:hAnsi="Arial"/>
                <w:color w:val="1B2233"/>
                <w:sz w:val="20"/>
                <w:szCs w:val="20"/>
              </w:rPr>
              <w:t xml:space="preserve">Plan działań to system wiarygodności. Jeśli uwagi z audytów wiszą miesiącami, zespół wyciąga wniosek, że 5S nie jest ważne.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998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shd w:fill="7050C8" w:color="auto" w:val="clear"/>
              <w:spacing w:after="40" w:before="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4</w:t>
            </w:r>
          </w:p>
        </w:tc>
        <w:tc>
          <w:tcPr>
            <w:tcW w:type="dxa" w:w="8998"/>
            <w:tcBorders>
              <w:top w:val="none" w:color="FFFFFF" w:sz="0"/>
              <w:left w:val="none" w:color="FFFFFF" w:sz="0"/>
              <w:bottom w:val="single" w:color="E3E8F2" w:sz="4"/>
              <w:right w:val="none" w:color="FFFFFF" w:sz="0"/>
            </w:tcBorders>
            <w:tcMar>
              <w:top w:type="dxa" w:w="40"/>
              <w:left w:type="dxa" w:w="120"/>
              <w:bottom w:type="dxa" w:w="80"/>
              <w:right w:type="dxa" w:w="0"/>
            </w:tcMar>
          </w:tcPr>
          <w:p>
            <w:pPr>
              <w:keepNext/>
              <w:spacing w:after="40"/>
            </w:pPr>
            <w:r>
              <w:rPr>
                <w:rFonts w:ascii="Arial" w:cs="Arial" w:eastAsia="Arial" w:hAnsi="Arial"/>
                <w:b/>
                <w:bCs/>
                <w:color w:val="0A1A45"/>
                <w:sz w:val="21"/>
                <w:szCs w:val="21"/>
              </w:rPr>
              <w:t xml:space="preserve">Uznawaj postęp</w:t>
            </w:r>
          </w:p>
          <w:p>
            <w:pPr>
              <w:spacing w:after="20" w:line="264"/>
            </w:pPr>
            <w:r>
              <w:rPr>
                <w:rFonts w:ascii="Arial" w:cs="Arial" w:eastAsia="Arial" w:hAnsi="Arial"/>
                <w:color w:val="1B2233"/>
                <w:sz w:val="20"/>
                <w:szCs w:val="20"/>
              </w:rPr>
              <w:t xml:space="preserve">Wyróżnij zespół o największym postępie, nie tylko o najwyższym wyniku. Unikaj rankingów, które karzą słabsze obszary i zachęcają do „ratowania wyniku”.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998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shd w:fill="7050C8" w:color="auto" w:val="clear"/>
              <w:spacing w:after="40" w:before="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5</w:t>
            </w:r>
          </w:p>
        </w:tc>
        <w:tc>
          <w:tcPr>
            <w:tcW w:type="dxa" w:w="8998"/>
            <w:tcBorders>
              <w:top w:val="none" w:color="FFFFFF" w:sz="0"/>
              <w:left w:val="none" w:color="FFFFFF" w:sz="0"/>
              <w:bottom w:val="single" w:color="E3E8F2" w:sz="4"/>
              <w:right w:val="none" w:color="FFFFFF" w:sz="0"/>
            </w:tcBorders>
            <w:tcMar>
              <w:top w:type="dxa" w:w="40"/>
              <w:left w:type="dxa" w:w="120"/>
              <w:bottom w:type="dxa" w:w="80"/>
              <w:right w:type="dxa" w:w="0"/>
            </w:tcMar>
          </w:tcPr>
          <w:p>
            <w:pPr>
              <w:keepNext/>
              <w:spacing w:after="40"/>
            </w:pPr>
            <w:r>
              <w:rPr>
                <w:rFonts w:ascii="Arial" w:cs="Arial" w:eastAsia="Arial" w:hAnsi="Arial"/>
                <w:b/>
                <w:bCs/>
                <w:color w:val="0A1A45"/>
                <w:sz w:val="21"/>
                <w:szCs w:val="21"/>
              </w:rPr>
              <w:t xml:space="preserve">Zbieraj pomysły pracowników</w:t>
            </w:r>
          </w:p>
          <w:p>
            <w:pPr>
              <w:spacing w:after="20" w:line="264"/>
            </w:pPr>
            <w:r>
              <w:rPr>
                <w:rFonts w:ascii="Arial" w:cs="Arial" w:eastAsia="Arial" w:hAnsi="Arial"/>
                <w:color w:val="1B2233"/>
                <w:sz w:val="20"/>
                <w:szCs w:val="20"/>
              </w:rPr>
              <w:t xml:space="preserve">Skrzynka lub tablica pomysłów, odpowiedź w ciągu 7 dni, widoczne wdrożone propozycje z imieniem autora.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998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shd w:fill="7050C8" w:color="auto" w:val="clear"/>
              <w:spacing w:after="40" w:before="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6</w:t>
            </w:r>
          </w:p>
        </w:tc>
        <w:tc>
          <w:tcPr>
            <w:tcW w:type="dxa" w:w="8998"/>
            <w:tcBorders>
              <w:top w:val="none" w:color="FFFFFF" w:sz="0"/>
              <w:left w:val="none" w:color="FFFFFF" w:sz="0"/>
              <w:bottom w:val="single" w:color="E3E8F2" w:sz="4"/>
              <w:right w:val="none" w:color="FFFFFF" w:sz="0"/>
            </w:tcBorders>
            <w:tcMar>
              <w:top w:type="dxa" w:w="40"/>
              <w:left w:type="dxa" w:w="120"/>
              <w:bottom w:type="dxa" w:w="80"/>
              <w:right w:type="dxa" w:w="0"/>
            </w:tcMar>
          </w:tcPr>
          <w:p>
            <w:pPr>
              <w:keepNext/>
              <w:spacing w:after="40"/>
            </w:pPr>
            <w:r>
              <w:rPr>
                <w:rFonts w:ascii="Arial" w:cs="Arial" w:eastAsia="Arial" w:hAnsi="Arial"/>
                <w:b/>
                <w:bCs/>
                <w:color w:val="0A1A45"/>
                <w:sz w:val="21"/>
                <w:szCs w:val="21"/>
              </w:rPr>
              <w:t xml:space="preserve">Mierz i omawiaj trend</w:t>
            </w:r>
          </w:p>
          <w:p>
            <w:pPr>
              <w:spacing w:after="20" w:line="264"/>
            </w:pPr>
            <w:r>
              <w:rPr>
                <w:rFonts w:ascii="Arial" w:cs="Arial" w:eastAsia="Arial" w:hAnsi="Arial"/>
                <w:color w:val="1B2233"/>
                <w:sz w:val="20"/>
                <w:szCs w:val="20"/>
              </w:rPr>
              <w:t xml:space="preserve">Wynik 5S i liczba otwartych działań to stałe punkty miesięcznego spotkania przeglądowego.</w:t>
            </w:r>
          </w:p>
        </w:tc>
      </w:tr>
    </w:tbl>
    <w:p>
      <w:pPr>
        <w:pStyle w:val="Heading3"/>
        <w:keepNext/>
        <w:spacing w:after="80" w:before="200"/>
      </w:pPr>
      <w:r>
        <w:rPr>
          <w:rFonts w:ascii="Arial" w:cs="Arial" w:eastAsia="Arial" w:hAnsi="Arial"/>
          <w:b/>
          <w:bCs/>
          <w:color w:val="7050C8"/>
          <w:sz w:val="22"/>
          <w:szCs w:val="22"/>
        </w:rPr>
        <w:t xml:space="preserve">Narzędzia z zestawu</w:t>
      </w:r>
    </w:p>
    <w:p>
      <w:pPr>
        <w:pStyle w:val="ListParagraph"/>
        <w:keepNext/>
        <w:numPr>
          <w:ilvl w:val="0"/>
          <w:numId w:val="3"/>
        </w:numPr>
        <w:spacing w:after="70" w:line="270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Excel: </w:t>
      </w:r>
      <w:r>
        <w:rPr>
          <w:rFonts w:ascii="Arial" w:cs="Arial" w:eastAsia="Arial" w:hAnsi="Arial"/>
          <w:b/>
          <w:bCs/>
          <w:color w:val="1B2233"/>
          <w:sz w:val="21"/>
          <w:szCs w:val="21"/>
        </w:rPr>
        <w:t xml:space="preserve">Harmonogram_audytów</w:t>
      </w:r>
      <w:r>
        <w:rPr>
          <w:rFonts w:ascii="Arial" w:cs="Arial" w:eastAsia="Arial" w:hAnsi="Arial"/>
          <w:color w:val="1B2233"/>
          <w:sz w:val="21"/>
          <w:szCs w:val="21"/>
        </w:rPr>
        <w:t xml:space="preserve"> (plan roczny a wykonanie).</w:t>
      </w:r>
    </w:p>
    <w:p>
      <w:pPr>
        <w:pStyle w:val="ListParagraph"/>
        <w:keepNext/>
        <w:numPr>
          <w:ilvl w:val="0"/>
          <w:numId w:val="3"/>
        </w:numPr>
        <w:spacing w:after="70" w:line="270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Excel: </w:t>
      </w:r>
      <w:r>
        <w:rPr>
          <w:rFonts w:ascii="Arial" w:cs="Arial" w:eastAsia="Arial" w:hAnsi="Arial"/>
          <w:b/>
          <w:bCs/>
          <w:color w:val="1B2233"/>
          <w:sz w:val="21"/>
          <w:szCs w:val="21"/>
        </w:rPr>
        <w:t xml:space="preserve">Dashboard</w:t>
      </w:r>
      <w:r>
        <w:rPr>
          <w:rFonts w:ascii="Arial" w:cs="Arial" w:eastAsia="Arial" w:hAnsi="Arial"/>
          <w:color w:val="1B2233"/>
          <w:sz w:val="21"/>
          <w:szCs w:val="21"/>
        </w:rPr>
        <w:t xml:space="preserve"> (trend, radar, ranking).</w:t>
      </w:r>
    </w:p>
    <w:p>
      <w:pPr>
        <w:pStyle w:val="ListParagraph"/>
        <w:keepNext/>
        <w:numPr>
          <w:ilvl w:val="0"/>
          <w:numId w:val="3"/>
        </w:numPr>
        <w:spacing w:after="70" w:line="270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Formularz: </w:t>
      </w:r>
      <w:r>
        <w:rPr>
          <w:rFonts w:ascii="Arial" w:cs="Arial" w:eastAsia="Arial" w:hAnsi="Arial"/>
          <w:b/>
          <w:bCs/>
          <w:color w:val="1B2233"/>
          <w:sz w:val="21"/>
          <w:szCs w:val="21"/>
        </w:rPr>
        <w:t xml:space="preserve">Zapis spotkania przeglądowego</w:t>
      </w:r>
      <w:r>
        <w:rPr>
          <w:rFonts w:ascii="Arial" w:cs="Arial" w:eastAsia="Arial" w:hAnsi="Arial"/>
          <w:color w:val="1B2233"/>
          <w:sz w:val="21"/>
          <w:szCs w:val="21"/>
        </w:rPr>
        <w:t xml:space="preserve"> i </w:t>
      </w:r>
      <w:r>
        <w:rPr>
          <w:rFonts w:ascii="Arial" w:cs="Arial" w:eastAsia="Arial" w:hAnsi="Arial"/>
          <w:b/>
          <w:bCs/>
          <w:color w:val="1B2233"/>
          <w:sz w:val="21"/>
          <w:szCs w:val="21"/>
        </w:rPr>
        <w:t xml:space="preserve">Plan działań</w:t>
      </w:r>
      <w:r>
        <w:rPr>
          <w:rFonts w:ascii="Arial" w:cs="Arial" w:eastAsia="Arial" w:hAnsi="Arial"/>
          <w:color w:val="1B2233"/>
          <w:sz w:val="21"/>
          <w:szCs w:val="21"/>
        </w:rPr>
        <w:t xml:space="preserve"> (PDF A4).</w:t>
      </w:r>
    </w:p>
    <w:p>
      <w:pPr>
        <w:pStyle w:val="ListParagraph"/>
        <w:keepNext w:val="false"/>
        <w:numPr>
          <w:ilvl w:val="0"/>
          <w:numId w:val="3"/>
        </w:numPr>
        <w:spacing w:after="70" w:line="270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Excel: pytania audytu 5.1–5.8.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7050C8" w:sz="24"/>
              <w:bottom w:val="none" w:color="FFFFFF" w:sz="0"/>
              <w:right w:val="none" w:color="FFFFFF" w:sz="0"/>
            </w:tcBorders>
            <w:shd w:fill="F7F9FD" w:color="auto" w:val="clear"/>
            <w:tcMar>
              <w:top w:type="dxa" w:w="110"/>
              <w:left w:type="dxa" w:w="200"/>
              <w:bottom w:type="dxa" w:w="90"/>
              <w:right w:type="dxa" w:w="160"/>
            </w:tcMar>
          </w:tcPr>
          <w:p>
            <w:pPr>
              <w:keepNext/>
              <w:spacing w:after="60"/>
            </w:pPr>
            <w:r>
              <w:rPr>
                <w:rFonts w:ascii="Arial" w:cs="Arial" w:eastAsia="Arial" w:hAnsi="Arial"/>
                <w:b/>
                <w:bCs/>
                <w:color w:val="7050C8"/>
                <w:sz w:val="21"/>
                <w:szCs w:val="21"/>
              </w:rPr>
              <w:t xml:space="preserve">Przykład z hali</w:t>
            </w:r>
          </w:p>
          <w:p>
            <w:pPr>
              <w:spacing w:after="60" w:line="264"/>
            </w:pPr>
            <w:r>
              <w:rPr>
                <w:rFonts w:ascii="Arial" w:cs="Arial" w:eastAsia="Arial" w:hAnsi="Arial"/>
                <w:color w:val="1B2233"/>
                <w:sz w:val="20"/>
                <w:szCs w:val="20"/>
              </w:rPr>
              <w:t xml:space="preserve">W jednym z obszarów wynik 1S–3S sięgał 90%, ale 5S wynosiło 45%. Audyt pokazał, że porządek był utrzymywany tylko dzięki jednej, zaangażowanej osobie. Po wprowadzeniu cotygodniowej gemby kierownika i imiennych właścicieli stref wynik 5S wzrósł w ciągu dwóch miesięcy.</w:t>
            </w:r>
          </w:p>
        </w:tc>
      </w:tr>
    </w:tbl>
    <w:p>
      <w:pPr>
        <w:pStyle w:val="Heading3"/>
        <w:keepNext/>
        <w:spacing w:after="80" w:before="200"/>
      </w:pPr>
      <w:r>
        <w:rPr>
          <w:rFonts w:ascii="Arial" w:cs="Arial" w:eastAsia="Arial" w:hAnsi="Arial"/>
          <w:b/>
          <w:bCs/>
          <w:color w:val="7050C8"/>
          <w:sz w:val="22"/>
          <w:szCs w:val="22"/>
        </w:rPr>
        <w:t xml:space="preserve">Typowe błędy</w:t>
      </w:r>
    </w:p>
    <w:p>
      <w:pPr>
        <w:pStyle w:val="ListParagraph"/>
        <w:keepNext/>
        <w:numPr>
          <w:ilvl w:val="0"/>
          <w:numId w:val="3"/>
        </w:numPr>
        <w:spacing w:after="70" w:line="270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Uznanie samodyscypliny za „cechę charakteru”. W rzeczywistości jest to </w:t>
      </w:r>
      <w:r>
        <w:rPr>
          <w:rFonts w:ascii="Arial" w:cs="Arial" w:eastAsia="Arial" w:hAnsi="Arial"/>
          <w:b/>
          <w:bCs/>
          <w:color w:val="1B2233"/>
          <w:sz w:val="21"/>
          <w:szCs w:val="21"/>
        </w:rPr>
        <w:t xml:space="preserve">system</w:t>
      </w:r>
      <w:r>
        <w:rPr>
          <w:rFonts w:ascii="Arial" w:cs="Arial" w:eastAsia="Arial" w:hAnsi="Arial"/>
          <w:color w:val="1B2233"/>
          <w:sz w:val="21"/>
          <w:szCs w:val="21"/>
        </w:rPr>
        <w:t xml:space="preserve">: rytm, rola kierownictwa i szybkie domykanie uwag.</w:t>
      </w:r>
    </w:p>
    <w:p>
      <w:pPr>
        <w:pStyle w:val="ListParagraph"/>
        <w:keepNext/>
        <w:numPr>
          <w:ilvl w:val="0"/>
          <w:numId w:val="3"/>
        </w:numPr>
        <w:spacing w:after="70" w:line="270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Zbyt rzadkie audyty lub audyty odkładane „bo jest dużo pracy”.</w:t>
      </w:r>
    </w:p>
    <w:p>
      <w:pPr>
        <w:pStyle w:val="ListParagraph"/>
        <w:keepNext/>
        <w:numPr>
          <w:ilvl w:val="0"/>
          <w:numId w:val="3"/>
        </w:numPr>
        <w:spacing w:after="70" w:line="270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Kontrola od święta, a w pozostałe dni brak zainteresowania.</w:t>
      </w:r>
    </w:p>
    <w:p>
      <w:pPr>
        <w:pStyle w:val="ListParagraph"/>
        <w:keepNext w:val="false"/>
        <w:numPr>
          <w:ilvl w:val="0"/>
          <w:numId w:val="3"/>
        </w:numPr>
        <w:spacing w:after="70" w:line="270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Nagrody i kary oparte wyłącznie na wyniku liczbowym, co prowadzi do zawyżania ocen.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7050C8" w:sz="24"/>
              <w:bottom w:val="none" w:color="FFFFFF" w:sz="0"/>
              <w:right w:val="none" w:color="FFFFFF" w:sz="0"/>
            </w:tcBorders>
            <w:shd w:fill="F4FAF6" w:color="auto" w:val="clear"/>
            <w:tcMar>
              <w:top w:type="dxa" w:w="110"/>
              <w:left w:type="dxa" w:w="200"/>
              <w:bottom w:type="dxa" w:w="90"/>
              <w:right w:type="dxa" w:w="160"/>
            </w:tcMar>
          </w:tcPr>
          <w:p>
            <w:pPr>
              <w:keepNext/>
              <w:spacing w:after="60"/>
            </w:pPr>
            <w:r>
              <w:rPr>
                <w:rFonts w:ascii="Arial" w:cs="Arial" w:eastAsia="Arial" w:hAnsi="Arial"/>
                <w:b/>
                <w:bCs/>
                <w:color w:val="7050C8"/>
                <w:sz w:val="21"/>
                <w:szCs w:val="21"/>
              </w:rPr>
              <w:t xml:space="preserve">Kryterium zamknięcia 5S</w:t>
            </w:r>
          </w:p>
          <w:p>
            <w:pPr>
              <w:spacing w:after="60" w:line="264"/>
            </w:pPr>
            <w:r>
              <w:rPr>
                <w:rFonts w:ascii="Arial" w:cs="Arial" w:eastAsia="Arial" w:hAnsi="Arial"/>
                <w:color w:val="1B2233"/>
                <w:sz w:val="20"/>
                <w:szCs w:val="20"/>
              </w:rPr>
              <w:t xml:space="preserve">Audyty odbywają się zgodnie z harmonogramem. Co najmniej 90% działań jest zamykanych w terminie. Kierownictwo odwiedza obszar regularnie. Wynik utrzymuje się na poziomie celu przez trzy kolejne audyty. Pytania 5.1–5.8 mają średnio co najmniej 3 punkty.</w:t>
            </w:r>
          </w:p>
        </w:tc>
      </w:tr>
    </w:tbl>
    <w:p>
      <w:pPr>
        <w:pStyle w:val="Heading1"/>
        <w:keepNext/>
        <w:pageBreakBefore/>
        <w:pBdr>
          <w:bottom w:val="single" w:color="1F4FD8" w:sz="12" w:space="6"/>
        </w:pBdr>
        <w:spacing w:after="200" w:before="0"/>
      </w:pPr>
      <w:r>
        <w:rPr>
          <w:rFonts w:ascii="Arial" w:cs="Arial" w:eastAsia="Arial" w:hAnsi="Arial"/>
          <w:b/>
          <w:bCs/>
          <w:color w:val="0A1A45"/>
          <w:sz w:val="34"/>
          <w:szCs w:val="34"/>
        </w:rPr>
        <w:t xml:space="preserve">5. Plan 30 / 60 / 90 dni</w:t>
      </w:r>
    </w:p>
    <w:p>
      <w:pPr>
        <w:spacing w:after="120" w:before="0" w:line="276"/>
        <w:jc w:val="left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Poniższy plan to sprawdzony układ dla pierwszych trzech miesięcy. Te same zadania znajdziesz w zakładce „Wdrożenie_90_dni” w Excelu, gdzie przypiszesz odpowiedzialnych i terminy oraz będziesz śledzić postęp.</w:t>
      </w:r>
    </w:p>
    <w:p>
      <w:pPr>
        <w:pStyle w:val="Heading2"/>
        <w:keepNext/>
        <w:spacing w:after="120" w:before="280"/>
      </w:pPr>
      <w:r>
        <w:rPr>
          <w:rFonts w:ascii="Arial" w:cs="Arial" w:eastAsia="Arial" w:hAnsi="Arial"/>
          <w:b/>
          <w:bCs/>
          <w:color w:val="D9523F"/>
          <w:sz w:val="26"/>
          <w:szCs w:val="26"/>
        </w:rPr>
        <w:t xml:space="preserve">Dni 1–30: fundament i pilotaż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00"/>
        <w:gridCol w:w="6138"/>
      </w:tblGrid>
      <w:tr>
        <w:trPr>
          <w:cantSplit/>
          <w:tblHeader/>
        </w:trPr>
        <w:tc>
          <w:tcPr>
            <w:tcW w:type="dxa" w:w="35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D9523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Zadanie</w:t>
            </w:r>
          </w:p>
        </w:tc>
        <w:tc>
          <w:tcPr>
            <w:tcW w:type="dxa" w:w="61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D9523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Kryterium ukończenia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1B2233"/>
                <w:sz w:val="19"/>
                <w:szCs w:val="19"/>
              </w:rPr>
              <w:t xml:space="preserve">Wyznaczyć sponsora wdrożenia i lidera 5S</w:t>
            </w:r>
          </w:p>
        </w:tc>
        <w:tc>
          <w:tcPr>
            <w:tcW w:type="dxa" w:w="61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Sponsor (kierownik zakładu lub produkcji) i lider mają zapisane role oraz czas w kalendarzu.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1B2233"/>
                <w:sz w:val="19"/>
                <w:szCs w:val="19"/>
              </w:rPr>
              <w:t xml:space="preserve">Wybrać obszar pilotażowy</w:t>
            </w:r>
          </w:p>
        </w:tc>
        <w:tc>
          <w:tcPr>
            <w:tcW w:type="dxa" w:w="61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Jeden obszar o widocznym potencjale, z zaangażowanym kierownikiem zmiany. Nie najgorszy i nie najlepszy w zakładzie.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1B2233"/>
                <w:sz w:val="19"/>
                <w:szCs w:val="19"/>
              </w:rPr>
              <w:t xml:space="preserve">Ustalić cele i wskaźniki</w:t>
            </w:r>
          </w:p>
        </w:tc>
        <w:tc>
          <w:tcPr>
            <w:tcW w:type="dxa" w:w="61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Zapisany cel wyniku audytu (np. 80%), termin oraz 2–3 mierzalne efekty (czas szukania, powierzchnia, liczba zgłoszeń).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1B2233"/>
                <w:sz w:val="19"/>
                <w:szCs w:val="19"/>
              </w:rPr>
              <w:t xml:space="preserve">Przeszkolić zespół pilotażu (60–90 min)</w:t>
            </w:r>
          </w:p>
        </w:tc>
        <w:tc>
          <w:tcPr>
            <w:tcW w:type="dxa" w:w="61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Lista obecności; zespół zna 5 kroków, czerwony tag i zasady strefy kwarantanny.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1B2233"/>
                <w:sz w:val="19"/>
                <w:szCs w:val="19"/>
              </w:rPr>
              <w:t xml:space="preserve">Wykonać zdjęcia stanu wyjściowego</w:t>
            </w:r>
          </w:p>
        </w:tc>
        <w:tc>
          <w:tcPr>
            <w:tcW w:type="dxa" w:w="61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Zdjęcia „przed” z tych samych miejsc, które posłużą później do zdjęć „po”.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1B2233"/>
                <w:sz w:val="19"/>
                <w:szCs w:val="19"/>
              </w:rPr>
              <w:t xml:space="preserve">Przeprowadzić audyt zerowy</w:t>
            </w:r>
          </w:p>
        </w:tc>
        <w:tc>
          <w:tcPr>
            <w:tcW w:type="dxa" w:w="61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Pełna karta audytu w pliku Excel; wynik jest punktem odniesienia.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1B2233"/>
                <w:sz w:val="19"/>
                <w:szCs w:val="19"/>
              </w:rPr>
              <w:t xml:space="preserve">Przygotować materiały</w:t>
            </w:r>
          </w:p>
        </w:tc>
        <w:tc>
          <w:tcPr>
            <w:tcW w:type="dxa" w:w="61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Czerwone tagi, taśmy, etykiety, tablica, pojemniki na strefę kwarantanny, worki, środki czystości.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1B2233"/>
                <w:sz w:val="19"/>
                <w:szCs w:val="19"/>
              </w:rPr>
              <w:t xml:space="preserve">Akcja 1S: sortowanie z czerwonymi tagami</w:t>
            </w:r>
          </w:p>
        </w:tc>
        <w:tc>
          <w:tcPr>
            <w:tcW w:type="dxa" w:w="61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Wszystkie przedmioty o niejasnym statusie oznaczone tagiem i wpisane do rejestru.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1B2233"/>
                <w:sz w:val="19"/>
                <w:szCs w:val="19"/>
              </w:rPr>
              <w:t xml:space="preserve">Rozstrzygnąć czerwone tagi</w:t>
            </w:r>
          </w:p>
        </w:tc>
        <w:tc>
          <w:tcPr>
            <w:tcW w:type="dxa" w:w="61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Decyzje w ciągu 7 dni; strefa kwarantanny opróżniona w ustalonym terminie.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1B2233"/>
                <w:sz w:val="19"/>
                <w:szCs w:val="19"/>
              </w:rPr>
              <w:t xml:space="preserve">Akcja 2S: miejsca, etykiety, kontury</w:t>
            </w:r>
          </w:p>
        </w:tc>
        <w:tc>
          <w:tcPr>
            <w:tcW w:type="dxa" w:w="61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Każdy przedmiot ma adres; min/max wyznaczone dla materiałów.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1B2233"/>
                <w:sz w:val="19"/>
                <w:szCs w:val="19"/>
              </w:rPr>
              <w:t xml:space="preserve">Akcja 3S: sprzątanie i źródła zabrudzeń</w:t>
            </w:r>
          </w:p>
        </w:tc>
        <w:tc>
          <w:tcPr>
            <w:tcW w:type="dxa" w:w="61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Obszar wyczyszczony, wskazane trzy główne źródła zanieczyszczeń z przypisanymi działaniami.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1B2233"/>
                <w:sz w:val="19"/>
                <w:szCs w:val="19"/>
              </w:rPr>
              <w:t xml:space="preserve">Pierwszy audyt po akcji</w:t>
            </w:r>
          </w:p>
        </w:tc>
        <w:tc>
          <w:tcPr>
            <w:tcW w:type="dxa" w:w="61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Audyt wykonany inną osobą niż lider; wynik porównany z audytem zerowym.</w:t>
            </w:r>
          </w:p>
        </w:tc>
      </w:tr>
    </w:tbl>
    <w:p>
      <w:pPr>
        <w:pStyle w:val="Heading2"/>
        <w:keepNext/>
        <w:spacing w:after="120" w:before="280"/>
      </w:pPr>
      <w:r>
        <w:rPr>
          <w:rFonts w:ascii="Arial" w:cs="Arial" w:eastAsia="Arial" w:hAnsi="Arial"/>
          <w:b/>
          <w:bCs/>
          <w:color w:val="E69A1F"/>
          <w:sz w:val="26"/>
          <w:szCs w:val="26"/>
        </w:rPr>
        <w:t xml:space="preserve">Dni 31–60: standard i rozszerzenie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00"/>
        <w:gridCol w:w="6138"/>
      </w:tblGrid>
      <w:tr>
        <w:trPr>
          <w:cantSplit/>
          <w:tblHeader/>
        </w:trPr>
        <w:tc>
          <w:tcPr>
            <w:tcW w:type="dxa" w:w="35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E69A1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Zadanie</w:t>
            </w:r>
          </w:p>
        </w:tc>
        <w:tc>
          <w:tcPr>
            <w:tcW w:type="dxa" w:w="61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E69A1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Kryterium ukończenia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1B2233"/>
                <w:sz w:val="19"/>
                <w:szCs w:val="19"/>
              </w:rPr>
              <w:t xml:space="preserve">Spisać standard obszaru</w:t>
            </w:r>
          </w:p>
        </w:tc>
        <w:tc>
          <w:tcPr>
            <w:tcW w:type="dxa" w:w="61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Zdjęcia stanu docelowego wywieszone w obszarze, opisane, z datą aktualizacji.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1B2233"/>
                <w:sz w:val="19"/>
                <w:szCs w:val="19"/>
              </w:rPr>
              <w:t xml:space="preserve">Wprowadzić codzienną 5-minutową kontrolę</w:t>
            </w:r>
          </w:p>
        </w:tc>
        <w:tc>
          <w:tcPr>
            <w:tcW w:type="dxa" w:w="61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Lista wypełniana przez operatorów na koniec zmiany; w tydzień test na jednej zmianie, potem wszystkie.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1B2233"/>
                <w:sz w:val="19"/>
                <w:szCs w:val="19"/>
              </w:rPr>
              <w:t xml:space="preserve">Wywiesić tablicę 5S w obszarze</w:t>
            </w:r>
          </w:p>
        </w:tc>
        <w:tc>
          <w:tcPr>
            <w:tcW w:type="dxa" w:w="61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Tablica z wynikiem, trendem, planem działań i imieniem właściciela obszaru.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1B2233"/>
                <w:sz w:val="19"/>
                <w:szCs w:val="19"/>
              </w:rPr>
              <w:t xml:space="preserve">Przeszkolić audytorów i przeprowadzić kalibrację</w:t>
            </w:r>
          </w:p>
        </w:tc>
        <w:tc>
          <w:tcPr>
            <w:tcW w:type="dxa" w:w="61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Co najmniej 3 audytorów; wspólny audyt jednego obszaru i uzgodnione oceny.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1B2233"/>
                <w:sz w:val="19"/>
                <w:szCs w:val="19"/>
              </w:rPr>
              <w:t xml:space="preserve">Ustalić harmonogram audytów</w:t>
            </w:r>
          </w:p>
        </w:tc>
        <w:tc>
          <w:tcPr>
            <w:tcW w:type="dxa" w:w="61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Harmonogram na rok w zakładce „Harmonogram_audytów”, z audytorami i terminami.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1B2233"/>
                <w:sz w:val="19"/>
                <w:szCs w:val="19"/>
              </w:rPr>
              <w:t xml:space="preserve">Rozszerzyć 1S–3S na 2–3 kolejne obszary</w:t>
            </w:r>
          </w:p>
        </w:tc>
        <w:tc>
          <w:tcPr>
            <w:tcW w:type="dxa" w:w="61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Dla każdego obszaru: audyt zerowy, akcja 1S–3S, audyt po akcji.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1B2233"/>
                <w:sz w:val="19"/>
                <w:szCs w:val="19"/>
              </w:rPr>
              <w:t xml:space="preserve">Pierwszy cykl audytów krzyżowych</w:t>
            </w:r>
          </w:p>
        </w:tc>
        <w:tc>
          <w:tcPr>
            <w:tcW w:type="dxa" w:w="61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Audytorzy oceniają obszary, których nie prowadzą; wyniki w pliku.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1B2233"/>
                <w:sz w:val="19"/>
                <w:szCs w:val="19"/>
              </w:rPr>
              <w:t xml:space="preserve">Pierwszy przegląd planu działań</w:t>
            </w:r>
          </w:p>
        </w:tc>
        <w:tc>
          <w:tcPr>
            <w:tcW w:type="dxa" w:w="61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Wszystkie działania mają właściciela i termin; po terminie nie ma więcej niż 10%.</w:t>
            </w:r>
          </w:p>
        </w:tc>
      </w:tr>
    </w:tbl>
    <w:p>
      <w:pPr>
        <w:pStyle w:val="Heading2"/>
        <w:keepNext/>
        <w:spacing w:after="120" w:before="280"/>
      </w:pPr>
      <w:r>
        <w:rPr>
          <w:rFonts w:ascii="Arial" w:cs="Arial" w:eastAsia="Arial" w:hAnsi="Arial"/>
          <w:b/>
          <w:bCs/>
          <w:color w:val="27956B"/>
          <w:sz w:val="26"/>
          <w:szCs w:val="26"/>
        </w:rPr>
        <w:t xml:space="preserve">Dni 61–90: utrzymanie i rytm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00"/>
        <w:gridCol w:w="6138"/>
      </w:tblGrid>
      <w:tr>
        <w:trPr>
          <w:cantSplit/>
          <w:tblHeader/>
        </w:trPr>
        <w:tc>
          <w:tcPr>
            <w:tcW w:type="dxa" w:w="35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27956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Zadanie</w:t>
            </w:r>
          </w:p>
        </w:tc>
        <w:tc>
          <w:tcPr>
            <w:tcW w:type="dxa" w:w="61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27956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Kryterium ukończenia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1B2233"/>
                <w:sz w:val="19"/>
                <w:szCs w:val="19"/>
              </w:rPr>
              <w:t xml:space="preserve">Uruchomić miesięczny przegląd 5S</w:t>
            </w:r>
          </w:p>
        </w:tc>
        <w:tc>
          <w:tcPr>
            <w:tcW w:type="dxa" w:w="61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Spotkanie 30–45 min z wynikami, trendem i najstarszymi działaniami.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1B2233"/>
                <w:sz w:val="19"/>
                <w:szCs w:val="19"/>
              </w:rPr>
              <w:t xml:space="preserve">Wprowadzić cotygodniową gembę kierownictwa</w:t>
            </w:r>
          </w:p>
        </w:tc>
        <w:tc>
          <w:tcPr>
            <w:tcW w:type="dxa" w:w="61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Kierownik odwiedza jeden obszar tygodniowo, zadaje pytania, zapisuje obserwacje.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1B2233"/>
                <w:sz w:val="19"/>
                <w:szCs w:val="19"/>
              </w:rPr>
              <w:t xml:space="preserve">Zaplanować rotację audytorów</w:t>
            </w:r>
          </w:p>
        </w:tc>
        <w:tc>
          <w:tcPr>
            <w:tcW w:type="dxa" w:w="61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Ten sam audytor nie ocenia tego samego obszaru dwa razy z rzędu.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1B2233"/>
                <w:sz w:val="19"/>
                <w:szCs w:val="19"/>
              </w:rPr>
              <w:t xml:space="preserve">Ustalić formę uznania dla zespołów</w:t>
            </w:r>
          </w:p>
        </w:tc>
        <w:tc>
          <w:tcPr>
            <w:tcW w:type="dxa" w:w="61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Wyróżnienie najlepszego obszaru i zespołu o największym postępie. Bez rywalizacji kosztem rzetelności.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1B2233"/>
                <w:sz w:val="19"/>
                <w:szCs w:val="19"/>
              </w:rPr>
              <w:t xml:space="preserve">Zaktualizować standardy po zmianach</w:t>
            </w:r>
          </w:p>
        </w:tc>
        <w:tc>
          <w:tcPr>
            <w:tcW w:type="dxa" w:w="61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Każda zmiana w obszarze ma wpis i aktualne zdjęcia.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1B2233"/>
                <w:sz w:val="19"/>
                <w:szCs w:val="19"/>
              </w:rPr>
              <w:t xml:space="preserve">Podsumować 90 dni</w:t>
            </w:r>
          </w:p>
        </w:tc>
        <w:tc>
          <w:tcPr>
            <w:tcW w:type="dxa" w:w="61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Raport: wyniki, efekty, wnioski, koszty; porównanie z zapisanymi celami.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1B2233"/>
                <w:sz w:val="19"/>
                <w:szCs w:val="19"/>
              </w:rPr>
              <w:t xml:space="preserve">Zdecydować o wdrożeniu w całym zakładzie</w:t>
            </w:r>
          </w:p>
        </w:tc>
        <w:tc>
          <w:tcPr>
            <w:tcW w:type="dxa" w:w="61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Decyzja sponsora z planem kolejnych obszarów i zasobów.</w:t>
            </w:r>
          </w:p>
        </w:tc>
      </w:tr>
    </w:tbl>
    <w:p>
      <w:pPr>
        <w:keepNext w:val="false"/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E69A1F" w:sz="24"/>
              <w:bottom w:val="none" w:color="FFFFFF" w:sz="0"/>
              <w:right w:val="none" w:color="FFFFFF" w:sz="0"/>
            </w:tcBorders>
            <w:shd w:fill="FFF8EA" w:color="auto" w:val="clear"/>
            <w:tcMar>
              <w:top w:type="dxa" w:w="110"/>
              <w:left w:type="dxa" w:w="200"/>
              <w:bottom w:type="dxa" w:w="90"/>
              <w:right w:type="dxa" w:w="160"/>
            </w:tcMar>
          </w:tcPr>
          <w:p>
            <w:pPr>
              <w:keepNext/>
              <w:spacing w:after="60"/>
            </w:pPr>
            <w:r>
              <w:rPr>
                <w:rFonts w:ascii="Arial" w:cs="Arial" w:eastAsia="Arial" w:hAnsi="Arial"/>
                <w:b/>
                <w:bCs/>
                <w:color w:val="E69A1F"/>
                <w:sz w:val="21"/>
                <w:szCs w:val="21"/>
              </w:rPr>
              <w:t xml:space="preserve">Zasada rozszerzania</w:t>
            </w:r>
          </w:p>
          <w:p>
            <w:pPr>
              <w:spacing w:after="60" w:line="264"/>
            </w:pPr>
            <w:r>
              <w:rPr>
                <w:rFonts w:ascii="Arial" w:cs="Arial" w:eastAsia="Arial" w:hAnsi="Arial"/>
                <w:color w:val="1B2233"/>
                <w:sz w:val="20"/>
                <w:szCs w:val="20"/>
              </w:rPr>
              <w:t xml:space="preserve">Do kolejnych obszarów przechodź dopiero wtedy, gdy pilotaż utrzymuje wynik co najmniej na poziomie celu przez dwa kolejne audyty. Pośpiech w rozszerzaniu to najczęstszy powód, dla którego 5S „rozlewa się” i traci jakość.</w:t>
            </w:r>
          </w:p>
        </w:tc>
      </w:tr>
    </w:tbl>
    <w:p>
      <w:pPr>
        <w:pStyle w:val="Heading1"/>
        <w:keepNext/>
        <w:pageBreakBefore/>
        <w:pBdr>
          <w:bottom w:val="single" w:color="1F4FD8" w:sz="12" w:space="6"/>
        </w:pBdr>
        <w:spacing w:after="200" w:before="0"/>
      </w:pPr>
      <w:r>
        <w:rPr>
          <w:rFonts w:ascii="Arial" w:cs="Arial" w:eastAsia="Arial" w:hAnsi="Arial"/>
          <w:b/>
          <w:bCs/>
          <w:color w:val="0A1A45"/>
          <w:sz w:val="34"/>
          <w:szCs w:val="34"/>
        </w:rPr>
        <w:t xml:space="preserve">6. Audyt 5S</w:t>
      </w:r>
    </w:p>
    <w:p>
      <w:pPr>
        <w:spacing w:after="120" w:before="0" w:line="276"/>
        <w:jc w:val="left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Audyt 5S jest pomiarem stanu i narzędziem uczenia się. Jego wartość zależy od rzetelności: wynik zawyżony z uprzejmości jest gorszy niż brak wyniku, bo uspokaja zespół w momencie, gdy powinien działać.</w:t>
      </w:r>
    </w:p>
    <w:p>
      <w:pPr>
        <w:pStyle w:val="Heading2"/>
        <w:keepNext/>
        <w:spacing w:after="120" w:before="280"/>
      </w:pPr>
      <w:r>
        <w:rPr>
          <w:rFonts w:ascii="Arial" w:cs="Arial" w:eastAsia="Arial" w:hAnsi="Arial"/>
          <w:b/>
          <w:bCs/>
          <w:color w:val="1F4FD8"/>
          <w:sz w:val="26"/>
          <w:szCs w:val="26"/>
        </w:rPr>
        <w:t xml:space="preserve">6.1 Poziomy kontroli i częstotliwość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2300"/>
        <w:gridCol w:w="2000"/>
        <w:gridCol w:w="1000"/>
        <w:gridCol w:w="2438"/>
      </w:tblGrid>
      <w:tr>
        <w:trPr>
          <w:cantSplit/>
          <w:tblHeader/>
        </w:trPr>
        <w:tc>
          <w:tcPr>
            <w:tcW w:type="dxa" w:w="19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0A1A45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Poziom</w:t>
            </w:r>
          </w:p>
        </w:tc>
        <w:tc>
          <w:tcPr>
            <w:tcW w:type="dxa" w:w="23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0A1A45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Kto</w:t>
            </w:r>
          </w:p>
        </w:tc>
        <w:tc>
          <w:tcPr>
            <w:tcW w:type="dxa" w:w="20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0A1A45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Jak często</w:t>
            </w:r>
          </w:p>
        </w:tc>
        <w:tc>
          <w:tcPr>
            <w:tcW w:type="dxa" w:w="10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0A1A45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Czas</w:t>
            </w:r>
          </w:p>
        </w:tc>
        <w:tc>
          <w:tcPr>
            <w:tcW w:type="dxa" w:w="24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0A1A45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Narzędzie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Kontrola codzienna</w:t>
            </w:r>
          </w:p>
        </w:tc>
        <w:tc>
          <w:tcPr>
            <w:tcW w:type="dxa" w:w="23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Operator / pracownik stanowiska</w:t>
            </w:r>
          </w:p>
        </w:tc>
        <w:tc>
          <w:tcPr>
            <w:tcW w:type="dxa" w:w="20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Co zmianę (koniec zmiany)</w:t>
            </w:r>
          </w:p>
        </w:tc>
        <w:tc>
          <w:tcPr>
            <w:tcW w:type="dxa" w:w="10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5 min</w:t>
            </w:r>
          </w:p>
        </w:tc>
        <w:tc>
          <w:tcPr>
            <w:tcW w:type="dxa" w:w="24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Lista 5 minut (A4)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Przegląd tygodniowy</w:t>
            </w:r>
          </w:p>
        </w:tc>
        <w:tc>
          <w:tcPr>
            <w:tcW w:type="dxa" w:w="23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Lider 5S, brygadzista</w:t>
            </w:r>
          </w:p>
        </w:tc>
        <w:tc>
          <w:tcPr>
            <w:tcW w:type="dxa" w:w="20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Raz w tygodniu</w:t>
            </w:r>
          </w:p>
        </w:tc>
        <w:tc>
          <w:tcPr>
            <w:tcW w:type="dxa" w:w="10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15 min</w:t>
            </w:r>
          </w:p>
        </w:tc>
        <w:tc>
          <w:tcPr>
            <w:tcW w:type="dxa" w:w="24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Obchód i plan działań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Audyt formalny</w:t>
            </w:r>
          </w:p>
        </w:tc>
        <w:tc>
          <w:tcPr>
            <w:tcW w:type="dxa" w:w="23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Audytor + właściciel obszaru</w:t>
            </w:r>
          </w:p>
        </w:tc>
        <w:tc>
          <w:tcPr>
            <w:tcW w:type="dxa" w:w="20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Co miesiąc (min. co kwartał)</w:t>
            </w:r>
          </w:p>
        </w:tc>
        <w:tc>
          <w:tcPr>
            <w:tcW w:type="dxa" w:w="10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45–60 min</w:t>
            </w:r>
          </w:p>
        </w:tc>
        <w:tc>
          <w:tcPr>
            <w:tcW w:type="dxa" w:w="24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Karta ocen w Excelu (40 pytań)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Audyt krzyżowy</w:t>
            </w:r>
          </w:p>
        </w:tc>
        <w:tc>
          <w:tcPr>
            <w:tcW w:type="dxa" w:w="23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Audytor z innego obszaru</w:t>
            </w:r>
          </w:p>
        </w:tc>
        <w:tc>
          <w:tcPr>
            <w:tcW w:type="dxa" w:w="20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Co kwartał</w:t>
            </w:r>
          </w:p>
        </w:tc>
        <w:tc>
          <w:tcPr>
            <w:tcW w:type="dxa" w:w="10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45–60 min</w:t>
            </w:r>
          </w:p>
        </w:tc>
        <w:tc>
          <w:tcPr>
            <w:tcW w:type="dxa" w:w="24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Karta ocen w Excelu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Przegląd standardów</w:t>
            </w:r>
          </w:p>
        </w:tc>
        <w:tc>
          <w:tcPr>
            <w:tcW w:type="dxa" w:w="23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Sponsor, lider, właściciele</w:t>
            </w:r>
          </w:p>
        </w:tc>
        <w:tc>
          <w:tcPr>
            <w:tcW w:type="dxa" w:w="20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Raz w roku</w:t>
            </w:r>
          </w:p>
        </w:tc>
        <w:tc>
          <w:tcPr>
            <w:tcW w:type="dxa" w:w="10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2 godz.</w:t>
            </w:r>
          </w:p>
        </w:tc>
        <w:tc>
          <w:tcPr>
            <w:tcW w:type="dxa" w:w="24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Standardy, wyniki roku, cele</w:t>
            </w:r>
          </w:p>
        </w:tc>
      </w:tr>
    </w:tbl>
    <w:p>
      <w:pPr>
        <w:pStyle w:val="Heading2"/>
        <w:keepNext/>
        <w:spacing w:after="120" w:before="280"/>
      </w:pPr>
      <w:r>
        <w:rPr>
          <w:rFonts w:ascii="Arial" w:cs="Arial" w:eastAsia="Arial" w:hAnsi="Arial"/>
          <w:b/>
          <w:bCs/>
          <w:color w:val="1F4FD8"/>
          <w:sz w:val="26"/>
          <w:szCs w:val="26"/>
        </w:rPr>
        <w:t xml:space="preserve">6.2 Przygotowanie audytu</w:t>
      </w:r>
    </w:p>
    <w:p>
      <w:pPr>
        <w:pStyle w:val="ListParagraph"/>
        <w:keepNext w:val="false"/>
        <w:numPr>
          <w:ilvl w:val="0"/>
          <w:numId w:val="3"/>
        </w:numPr>
        <w:spacing w:after="70" w:line="270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Wybierz </w:t>
      </w:r>
      <w:r>
        <w:rPr>
          <w:rFonts w:ascii="Arial" w:cs="Arial" w:eastAsia="Arial" w:hAnsi="Arial"/>
          <w:b/>
          <w:bCs/>
          <w:color w:val="1B2233"/>
          <w:sz w:val="21"/>
          <w:szCs w:val="21"/>
        </w:rPr>
        <w:t xml:space="preserve">dwóch audytorów</w:t>
      </w:r>
      <w:r>
        <w:rPr>
          <w:rFonts w:ascii="Arial" w:cs="Arial" w:eastAsia="Arial" w:hAnsi="Arial"/>
          <w:color w:val="1B2233"/>
          <w:sz w:val="21"/>
          <w:szCs w:val="21"/>
        </w:rPr>
        <w:t xml:space="preserve">: jedną osobę z zewnątrz obszaru i jedną z obszaru (właściciel lub lider). Dwa spojrzenia ograniczają subiektywność.</w:t>
      </w:r>
    </w:p>
    <w:p>
      <w:pPr>
        <w:pStyle w:val="ListParagraph"/>
        <w:keepNext w:val="false"/>
        <w:numPr>
          <w:ilvl w:val="0"/>
          <w:numId w:val="3"/>
        </w:numPr>
        <w:spacing w:after="70" w:line="270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Przygotuj poprzedni wynik, aktualny plan działań, aparat i formularz (A4 albo laptop z Excelem).</w:t>
      </w:r>
    </w:p>
    <w:p>
      <w:pPr>
        <w:pStyle w:val="ListParagraph"/>
        <w:keepNext w:val="false"/>
        <w:numPr>
          <w:ilvl w:val="0"/>
          <w:numId w:val="3"/>
        </w:numPr>
        <w:spacing w:after="70" w:line="270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Uzgodnij </w:t>
      </w:r>
      <w:r>
        <w:rPr>
          <w:rFonts w:ascii="Arial" w:cs="Arial" w:eastAsia="Arial" w:hAnsi="Arial"/>
          <w:b/>
          <w:bCs/>
          <w:color w:val="1B2233"/>
          <w:sz w:val="21"/>
          <w:szCs w:val="21"/>
        </w:rPr>
        <w:t xml:space="preserve">stałą trasę obchodu</w:t>
      </w:r>
      <w:r>
        <w:rPr>
          <w:rFonts w:ascii="Arial" w:cs="Arial" w:eastAsia="Arial" w:hAnsi="Arial"/>
          <w:color w:val="1B2233"/>
          <w:sz w:val="21"/>
          <w:szCs w:val="21"/>
        </w:rPr>
        <w:t xml:space="preserve">: zawsze ta sama kolejność, żeby wyniki były porównywalne.</w:t>
      </w:r>
    </w:p>
    <w:p>
      <w:pPr>
        <w:pStyle w:val="ListParagraph"/>
        <w:keepNext w:val="false"/>
        <w:numPr>
          <w:ilvl w:val="0"/>
          <w:numId w:val="3"/>
        </w:numPr>
        <w:spacing w:after="70" w:line="270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Audyt przeprowadzaj w trakcie normalnej pracy, nie po specjalnym przygotowaniu obszaru. Termin możesz zapowiedzieć w harmonogramie, ale konkretny dzień nie musi być znany.</w:t>
      </w:r>
    </w:p>
    <w:p>
      <w:pPr>
        <w:pStyle w:val="Heading2"/>
        <w:keepNext/>
        <w:spacing w:after="120" w:before="280"/>
      </w:pPr>
      <w:r>
        <w:rPr>
          <w:rFonts w:ascii="Arial" w:cs="Arial" w:eastAsia="Arial" w:hAnsi="Arial"/>
          <w:b/>
          <w:bCs/>
          <w:color w:val="1F4FD8"/>
          <w:sz w:val="26"/>
          <w:szCs w:val="26"/>
        </w:rPr>
        <w:t xml:space="preserve">6.3 Przebieg audytu</w:t>
      </w:r>
    </w:p>
    <w:p>
      <w:pPr>
        <w:pStyle w:val="ListParagraph"/>
        <w:numPr>
          <w:ilvl w:val="0"/>
          <w:numId w:val="4"/>
        </w:numPr>
        <w:spacing w:after="80" w:line="270"/>
      </w:pPr>
      <w:r>
        <w:rPr>
          <w:rFonts w:ascii="Arial" w:cs="Arial" w:eastAsia="Arial" w:hAnsi="Arial"/>
          <w:b/>
          <w:bCs/>
          <w:color w:val="1B2233"/>
          <w:sz w:val="21"/>
          <w:szCs w:val="21"/>
        </w:rPr>
        <w:t xml:space="preserve">Krótkie wprowadzenie</w:t>
      </w:r>
      <w:r>
        <w:rPr>
          <w:rFonts w:ascii="Arial" w:cs="Arial" w:eastAsia="Arial" w:hAnsi="Arial"/>
          <w:color w:val="1B2233"/>
          <w:sz w:val="21"/>
          <w:szCs w:val="21"/>
        </w:rPr>
        <w:t xml:space="preserve"> (5 min): cel audytu, trasa, kto zadaje pytania.</w:t>
      </w:r>
    </w:p>
    <w:p>
      <w:pPr>
        <w:pStyle w:val="ListParagraph"/>
        <w:numPr>
          <w:ilvl w:val="0"/>
          <w:numId w:val="4"/>
        </w:numPr>
        <w:spacing w:after="80" w:line="270"/>
      </w:pPr>
      <w:r>
        <w:rPr>
          <w:rFonts w:ascii="Arial" w:cs="Arial" w:eastAsia="Arial" w:hAnsi="Arial"/>
          <w:b/>
          <w:bCs/>
          <w:color w:val="1B2233"/>
          <w:sz w:val="21"/>
          <w:szCs w:val="21"/>
        </w:rPr>
        <w:t xml:space="preserve">Obchód i ocena na miejscu.</w:t>
      </w:r>
      <w:r>
        <w:rPr>
          <w:rFonts w:ascii="Arial" w:cs="Arial" w:eastAsia="Arial" w:hAnsi="Arial"/>
          <w:color w:val="1B2233"/>
          <w:sz w:val="21"/>
          <w:szCs w:val="21"/>
        </w:rPr>
        <w:t xml:space="preserve"> Dla każdego pytania z karty ocen sprawdź stan, a ocenę wpisz od razu. Oceniaj to, co widzisz i możesz potwierdzić, a nie to, co ktoś obiecuje zrobić.</w:t>
      </w:r>
    </w:p>
    <w:p>
      <w:pPr>
        <w:pStyle w:val="ListParagraph"/>
        <w:numPr>
          <w:ilvl w:val="0"/>
          <w:numId w:val="4"/>
        </w:numPr>
        <w:spacing w:after="80" w:line="270"/>
      </w:pPr>
      <w:r>
        <w:rPr>
          <w:rFonts w:ascii="Arial" w:cs="Arial" w:eastAsia="Arial" w:hAnsi="Arial"/>
          <w:b/>
          <w:bCs/>
          <w:color w:val="1B2233"/>
          <w:sz w:val="21"/>
          <w:szCs w:val="21"/>
        </w:rPr>
        <w:t xml:space="preserve">Dowód.</w:t>
      </w:r>
      <w:r>
        <w:rPr>
          <w:rFonts w:ascii="Arial" w:cs="Arial" w:eastAsia="Arial" w:hAnsi="Arial"/>
          <w:color w:val="1B2233"/>
          <w:sz w:val="21"/>
          <w:szCs w:val="21"/>
        </w:rPr>
        <w:t xml:space="preserve"> Przy każdej ocenie 0–2 zrób zdjęcie. Pomoże w rozmowie i w planie działań.</w:t>
      </w:r>
    </w:p>
    <w:p>
      <w:pPr>
        <w:pStyle w:val="ListParagraph"/>
        <w:numPr>
          <w:ilvl w:val="0"/>
          <w:numId w:val="4"/>
        </w:numPr>
        <w:spacing w:after="80" w:line="270"/>
      </w:pPr>
      <w:r>
        <w:rPr>
          <w:rFonts w:ascii="Arial" w:cs="Arial" w:eastAsia="Arial" w:hAnsi="Arial"/>
          <w:b/>
          <w:bCs/>
          <w:color w:val="1B2233"/>
          <w:sz w:val="21"/>
          <w:szCs w:val="21"/>
        </w:rPr>
        <w:t xml:space="preserve">Rozmowa z 2–3 pracownikami</w:t>
      </w:r>
      <w:r>
        <w:rPr>
          <w:rFonts w:ascii="Arial" w:cs="Arial" w:eastAsia="Arial" w:hAnsi="Arial"/>
          <w:color w:val="1B2233"/>
          <w:sz w:val="21"/>
          <w:szCs w:val="21"/>
        </w:rPr>
        <w:t xml:space="preserve"> (pytania 4.x i 5.x): co znaczą oznaczenia, jakie mają obowiązki, co im przeszkadza.</w:t>
      </w:r>
    </w:p>
    <w:p>
      <w:pPr>
        <w:pStyle w:val="ListParagraph"/>
        <w:numPr>
          <w:ilvl w:val="0"/>
          <w:numId w:val="4"/>
        </w:numPr>
        <w:spacing w:after="80" w:line="270"/>
      </w:pPr>
      <w:r>
        <w:rPr>
          <w:rFonts w:ascii="Arial" w:cs="Arial" w:eastAsia="Arial" w:hAnsi="Arial"/>
          <w:b/>
          <w:bCs/>
          <w:color w:val="1B2233"/>
          <w:sz w:val="21"/>
          <w:szCs w:val="21"/>
        </w:rPr>
        <w:t xml:space="preserve">Wpisanie ocen do Excela</w:t>
      </w:r>
      <w:r>
        <w:rPr>
          <w:rFonts w:ascii="Arial" w:cs="Arial" w:eastAsia="Arial" w:hAnsi="Arial"/>
          <w:color w:val="1B2233"/>
          <w:sz w:val="21"/>
          <w:szCs w:val="21"/>
        </w:rPr>
        <w:t xml:space="preserve">: w kolejnej wolnej kolumnie zakładki „Oceny” wybierz datę, obszar, audytora i oceny.</w:t>
      </w:r>
    </w:p>
    <w:p>
      <w:pPr>
        <w:pStyle w:val="ListParagraph"/>
        <w:numPr>
          <w:ilvl w:val="0"/>
          <w:numId w:val="4"/>
        </w:numPr>
        <w:spacing w:after="80" w:line="270"/>
      </w:pPr>
      <w:r>
        <w:rPr>
          <w:rFonts w:ascii="Arial" w:cs="Arial" w:eastAsia="Arial" w:hAnsi="Arial"/>
          <w:b/>
          <w:bCs/>
          <w:color w:val="1B2233"/>
          <w:sz w:val="21"/>
          <w:szCs w:val="21"/>
        </w:rPr>
        <w:t xml:space="preserve">Omówienie wyniku z zespołem</w:t>
      </w:r>
      <w:r>
        <w:rPr>
          <w:rFonts w:ascii="Arial" w:cs="Arial" w:eastAsia="Arial" w:hAnsi="Arial"/>
          <w:color w:val="1B2233"/>
          <w:sz w:val="21"/>
          <w:szCs w:val="21"/>
        </w:rPr>
        <w:t xml:space="preserve"> (10 min): co działa, co wymaga poprawy, kto zajmie się którymi punktami.</w:t>
      </w:r>
    </w:p>
    <w:p>
      <w:pPr>
        <w:pStyle w:val="ListParagraph"/>
        <w:numPr>
          <w:ilvl w:val="0"/>
          <w:numId w:val="4"/>
        </w:numPr>
        <w:spacing w:after="80" w:line="270"/>
      </w:pPr>
      <w:r>
        <w:rPr>
          <w:rFonts w:ascii="Arial" w:cs="Arial" w:eastAsia="Arial" w:hAnsi="Arial"/>
          <w:b/>
          <w:bCs/>
          <w:color w:val="1B2233"/>
          <w:sz w:val="21"/>
          <w:szCs w:val="21"/>
        </w:rPr>
        <w:t xml:space="preserve">Plan działań:</w:t>
      </w:r>
      <w:r>
        <w:rPr>
          <w:rFonts w:ascii="Arial" w:cs="Arial" w:eastAsia="Arial" w:hAnsi="Arial"/>
          <w:color w:val="1B2233"/>
          <w:sz w:val="21"/>
          <w:szCs w:val="21"/>
        </w:rPr>
        <w:t xml:space="preserve"> każdą uwagę z oceną 0–2 zamień na działanie z właścicielem i terminem.</w:t>
      </w:r>
    </w:p>
    <w:p>
      <w:pPr>
        <w:pStyle w:val="Heading2"/>
        <w:keepNext/>
        <w:spacing w:after="120" w:before="280"/>
      </w:pPr>
      <w:r>
        <w:rPr>
          <w:rFonts w:ascii="Arial" w:cs="Arial" w:eastAsia="Arial" w:hAnsi="Arial"/>
          <w:b/>
          <w:bCs/>
          <w:color w:val="1F4FD8"/>
          <w:sz w:val="26"/>
          <w:szCs w:val="26"/>
        </w:rPr>
        <w:t xml:space="preserve">6.4 Jak oceniać w skali 0–4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1800"/>
        <w:gridCol w:w="6738"/>
      </w:tblGrid>
      <w:tr>
        <w:trPr>
          <w:cantSplit/>
          <w:tblHeader/>
        </w:trPr>
        <w:tc>
          <w:tcPr>
            <w:tcW w:type="dxa" w:w="11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0A1A45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Ocena</w:t>
            </w:r>
          </w:p>
        </w:tc>
        <w:tc>
          <w:tcPr>
            <w:tcW w:type="dxa" w:w="18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0A1A45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Znaczenie</w:t>
            </w:r>
          </w:p>
        </w:tc>
        <w:tc>
          <w:tcPr>
            <w:tcW w:type="dxa" w:w="67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0A1A45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Opis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1B2233"/>
                <w:sz w:val="19"/>
                <w:szCs w:val="19"/>
              </w:rPr>
              <w:t xml:space="preserve">4</w:t>
            </w:r>
          </w:p>
        </w:tc>
        <w:tc>
          <w:tcPr>
            <w:tcW w:type="dxa" w:w="18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Wzorowo</w:t>
            </w:r>
          </w:p>
        </w:tc>
        <w:tc>
          <w:tcPr>
            <w:tcW w:type="dxa" w:w="67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Wymóg spełniony w pełni, utrzymany w czasie i potwierdzony przez zespół.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1B2233"/>
                <w:sz w:val="19"/>
                <w:szCs w:val="19"/>
              </w:rPr>
              <w:t xml:space="preserve">3</w:t>
            </w:r>
          </w:p>
        </w:tc>
        <w:tc>
          <w:tcPr>
            <w:tcW w:type="dxa" w:w="18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Dobrze</w:t>
            </w:r>
          </w:p>
        </w:tc>
        <w:tc>
          <w:tcPr>
            <w:tcW w:type="dxa" w:w="67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Spełniony w większości. Drobne odchylenia, które zespół sam zauważa i koryguje.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1B2233"/>
                <w:sz w:val="19"/>
                <w:szCs w:val="19"/>
              </w:rPr>
              <w:t xml:space="preserve">2</w:t>
            </w:r>
          </w:p>
        </w:tc>
        <w:tc>
          <w:tcPr>
            <w:tcW w:type="dxa" w:w="18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Częściowo</w:t>
            </w:r>
          </w:p>
        </w:tc>
        <w:tc>
          <w:tcPr>
            <w:tcW w:type="dxa" w:w="67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Spełniony mniej więcej w połowie. Widoczne luki, brak stałego nawyku.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1B2233"/>
                <w:sz w:val="19"/>
                <w:szCs w:val="19"/>
              </w:rPr>
              <w:t xml:space="preserve">1</w:t>
            </w:r>
          </w:p>
        </w:tc>
        <w:tc>
          <w:tcPr>
            <w:tcW w:type="dxa" w:w="18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Słabo</w:t>
            </w:r>
          </w:p>
        </w:tc>
        <w:tc>
          <w:tcPr>
            <w:tcW w:type="dxa" w:w="67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Pojedyncze elementy są na miejscu, ale brak systemu i utrzymania.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1B2233"/>
                <w:sz w:val="19"/>
                <w:szCs w:val="19"/>
              </w:rPr>
              <w:t xml:space="preserve">0</w:t>
            </w:r>
          </w:p>
        </w:tc>
        <w:tc>
          <w:tcPr>
            <w:tcW w:type="dxa" w:w="18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Brak</w:t>
            </w:r>
          </w:p>
        </w:tc>
        <w:tc>
          <w:tcPr>
            <w:tcW w:type="dxa" w:w="67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Wymóg niespełniony albo nie istnieje.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1B2233"/>
                <w:sz w:val="19"/>
                <w:szCs w:val="19"/>
              </w:rPr>
              <w:t xml:space="preserve">ND</w:t>
            </w:r>
          </w:p>
        </w:tc>
        <w:tc>
          <w:tcPr>
            <w:tcW w:type="dxa" w:w="18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Nie dotyczy</w:t>
            </w:r>
          </w:p>
        </w:tc>
        <w:tc>
          <w:tcPr>
            <w:tcW w:type="dxa" w:w="67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Pytanie nie ma zastosowania w tym obszarze. Nie wchodzi do wyniku.</w:t>
            </w:r>
          </w:p>
        </w:tc>
      </w:tr>
    </w:tbl>
    <w:p>
      <w:pPr>
        <w:keepNext w:val="false"/>
        <w:spacing w:after="100"/>
      </w:pPr>
    </w:p>
    <w:p>
      <w:pPr>
        <w:spacing w:after="120" w:before="0" w:line="276"/>
        <w:jc w:val="left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Jeśli pytanie dotyczy zbioru elementów (np. „każdy przedmiot ma miejsce”), oceń na próbie 5 losowych przedmiotów według tej reguły: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4238"/>
      </w:tblGrid>
      <w:tr>
        <w:trPr>
          <w:cantSplit/>
          <w:tblHeader/>
        </w:trPr>
        <w:tc>
          <w:tcPr>
            <w:tcW w:type="dxa" w:w="54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0A1A45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Spełnione w próbie</w:t>
            </w:r>
          </w:p>
        </w:tc>
        <w:tc>
          <w:tcPr>
            <w:tcW w:type="dxa" w:w="42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0A1A45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Ocena</w:t>
            </w:r>
          </w:p>
        </w:tc>
      </w:tr>
      <w:tr>
        <w:trPr>
          <w:cantSplit/>
        </w:trPr>
        <w:tc>
          <w:tcPr>
            <w:tcW w:type="dxa" w:w="54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100% próby, brak wyjątków</w:t>
            </w:r>
          </w:p>
        </w:tc>
        <w:tc>
          <w:tcPr>
            <w:tcW w:type="dxa" w:w="42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4</w:t>
            </w:r>
          </w:p>
        </w:tc>
      </w:tr>
      <w:tr>
        <w:trPr>
          <w:cantSplit/>
        </w:trPr>
        <w:tc>
          <w:tcPr>
            <w:tcW w:type="dxa" w:w="54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około 75%</w:t>
            </w:r>
          </w:p>
        </w:tc>
        <w:tc>
          <w:tcPr>
            <w:tcW w:type="dxa" w:w="42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54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około 50%</w:t>
            </w:r>
          </w:p>
        </w:tc>
        <w:tc>
          <w:tcPr>
            <w:tcW w:type="dxa" w:w="42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54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około 25%</w:t>
            </w:r>
          </w:p>
        </w:tc>
        <w:tc>
          <w:tcPr>
            <w:tcW w:type="dxa" w:w="42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54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mniej niż 25% lub brak</w:t>
            </w:r>
          </w:p>
        </w:tc>
        <w:tc>
          <w:tcPr>
            <w:tcW w:type="dxa" w:w="42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0</w:t>
            </w:r>
          </w:p>
        </w:tc>
      </w:tr>
    </w:tbl>
    <w:p>
      <w:pPr>
        <w:keepNext w:val="false"/>
        <w:spacing w:after="1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C0392B" w:sz="24"/>
              <w:bottom w:val="none" w:color="FFFFFF" w:sz="0"/>
              <w:right w:val="none" w:color="FFFFFF" w:sz="0"/>
            </w:tcBorders>
            <w:shd w:fill="FDF1EF" w:color="auto" w:val="clear"/>
            <w:tcMar>
              <w:top w:type="dxa" w:w="110"/>
              <w:left w:type="dxa" w:w="200"/>
              <w:bottom w:type="dxa" w:w="90"/>
              <w:right w:type="dxa" w:w="160"/>
            </w:tcMar>
          </w:tcPr>
          <w:p>
            <w:pPr>
              <w:keepNext/>
              <w:spacing w:after="60"/>
            </w:pPr>
            <w:r>
              <w:rPr>
                <w:rFonts w:ascii="Arial" w:cs="Arial" w:eastAsia="Arial" w:hAnsi="Arial"/>
                <w:b/>
                <w:bCs/>
                <w:color w:val="C0392B"/>
                <w:sz w:val="21"/>
                <w:szCs w:val="21"/>
              </w:rPr>
              <w:t xml:space="preserve">Zasada wątpliwości</w:t>
            </w:r>
          </w:p>
          <w:p>
            <w:pPr>
              <w:spacing w:after="60" w:line="264"/>
            </w:pPr>
            <w:r>
              <w:rPr>
                <w:rFonts w:ascii="Arial" w:cs="Arial" w:eastAsia="Arial" w:hAnsi="Arial"/>
                <w:color w:val="1B2233"/>
                <w:sz w:val="20"/>
                <w:szCs w:val="20"/>
              </w:rPr>
              <w:t xml:space="preserve">Jeśli wahasz się między dwiema ocenami, </w:t>
            </w:r>
            <w:r>
              <w:rPr>
                <w:rFonts w:ascii="Arial" w:cs="Arial" w:eastAsia="Arial" w:hAnsi="Arial"/>
                <w:b/>
                <w:bCs/>
                <w:color w:val="1B2233"/>
                <w:sz w:val="20"/>
                <w:szCs w:val="20"/>
              </w:rPr>
              <w:t xml:space="preserve">wybierz niższą</w:t>
            </w:r>
            <w:r>
              <w:rPr>
                <w:rFonts w:ascii="Arial" w:cs="Arial" w:eastAsia="Arial" w:hAnsi="Arial"/>
                <w:color w:val="1B2233"/>
                <w:sz w:val="20"/>
                <w:szCs w:val="20"/>
              </w:rPr>
              <w:t xml:space="preserve">. Ocenę 4 przyznajesz tylko wtedy, gdy stan jest utrzymany w czasie i potwierdzony przez zespół (np. w rozmowie), a nie tylko widoczny w dniu audytu.</w:t>
            </w:r>
          </w:p>
          <w:p>
            <w:pPr>
              <w:spacing w:after="60" w:line="264"/>
            </w:pPr>
            <w:r>
              <w:rPr>
                <w:rFonts w:ascii="Arial" w:cs="Arial" w:eastAsia="Arial" w:hAnsi="Arial"/>
                <w:color w:val="1B2233"/>
                <w:sz w:val="20"/>
                <w:szCs w:val="20"/>
              </w:rPr>
              <w:t xml:space="preserve">ND (nie dotyczy) wpisz tylko wtedy, gdy pytanie naprawdę nie ma zastosowania w obszarze. Nie używaj ND, żeby ominąć niewygodne pytanie. Pytania z ND są wyłączone z wyniku, więc nadużywanie ND zawyża wynik.</w:t>
            </w:r>
          </w:p>
        </w:tc>
      </w:tr>
    </w:tbl>
    <w:p>
      <w:pPr>
        <w:pStyle w:val="Heading2"/>
        <w:keepNext/>
        <w:spacing w:after="120" w:before="280"/>
      </w:pPr>
      <w:r>
        <w:rPr>
          <w:rFonts w:ascii="Arial" w:cs="Arial" w:eastAsia="Arial" w:hAnsi="Arial"/>
          <w:b/>
          <w:bCs/>
          <w:color w:val="1F4FD8"/>
          <w:sz w:val="26"/>
          <w:szCs w:val="26"/>
        </w:rPr>
        <w:t xml:space="preserve">6.5 Interpretacja wyniku</w:t>
      </w:r>
    </w:p>
    <w:p>
      <w:pPr>
        <w:spacing w:after="120" w:before="0" w:line="276"/>
        <w:jc w:val="left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Wynik każdego S to suma punktów podzielona przez maksimum możliwe do uzyskania w ocenionych pytaniach. Wynik ogółem to średnia z pięciu wyników S, więc każde S waży tyle samo. Domyślne progi (możesz je zmienić w zakładce „Ustawienia”):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300"/>
        <w:gridCol w:w="5538"/>
      </w:tblGrid>
      <w:tr>
        <w:trPr>
          <w:cantSplit/>
          <w:tblHeader/>
        </w:trPr>
        <w:tc>
          <w:tcPr>
            <w:tcW w:type="dxa" w:w="18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0A1A45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Wynik</w:t>
            </w:r>
          </w:p>
        </w:tc>
        <w:tc>
          <w:tcPr>
            <w:tcW w:type="dxa" w:w="23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0A1A45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Poziom</w:t>
            </w:r>
          </w:p>
        </w:tc>
        <w:tc>
          <w:tcPr>
            <w:tcW w:type="dxa" w:w="55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0A1A45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Co robić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80% i więcej</w:t>
            </w:r>
          </w:p>
        </w:tc>
        <w:tc>
          <w:tcPr>
            <w:tcW w:type="dxa" w:w="23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1B2233"/>
                <w:sz w:val="19"/>
                <w:szCs w:val="19"/>
              </w:rPr>
              <w:t xml:space="preserve">Cel osiągnięty</w:t>
            </w:r>
          </w:p>
        </w:tc>
        <w:tc>
          <w:tcPr>
            <w:tcW w:type="dxa" w:w="55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Utrzymać standard, szukać usprawnień, dzielić się praktykami z innymi obszarami.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60–79%</w:t>
            </w:r>
          </w:p>
        </w:tc>
        <w:tc>
          <w:tcPr>
            <w:tcW w:type="dxa" w:w="23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1B2233"/>
                <w:sz w:val="19"/>
                <w:szCs w:val="19"/>
              </w:rPr>
              <w:t xml:space="preserve">Do poprawy</w:t>
            </w:r>
          </w:p>
        </w:tc>
        <w:tc>
          <w:tcPr>
            <w:tcW w:type="dxa" w:w="55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Wskazać 3 najsłabsze pytania, uzgodnić działania z terminem do następnego audytu.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poniżej 60%</w:t>
            </w:r>
          </w:p>
        </w:tc>
        <w:tc>
          <w:tcPr>
            <w:tcW w:type="dxa" w:w="23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1B2233"/>
                <w:sz w:val="19"/>
                <w:szCs w:val="19"/>
              </w:rPr>
              <w:t xml:space="preserve">Krytyczny</w:t>
            </w:r>
          </w:p>
        </w:tc>
        <w:tc>
          <w:tcPr>
            <w:tcW w:type="dxa" w:w="55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Przegląd z kierownictwem w ciągu tygodnia, ponowne szkolenie, wsparcie lidera 5S.</w:t>
            </w:r>
          </w:p>
        </w:tc>
      </w:tr>
    </w:tbl>
    <w:p>
      <w:pPr>
        <w:pStyle w:val="Heading3"/>
        <w:keepNext/>
        <w:spacing w:after="80" w:before="200"/>
      </w:pPr>
      <w:r>
        <w:rPr>
          <w:rFonts w:ascii="Arial" w:cs="Arial" w:eastAsia="Arial" w:hAnsi="Arial"/>
          <w:b/>
          <w:bCs/>
          <w:color w:val="0A1A45"/>
          <w:sz w:val="22"/>
          <w:szCs w:val="22"/>
        </w:rPr>
        <w:t xml:space="preserve">Co warto zauważyć w panelu Dashboard</w:t>
      </w:r>
    </w:p>
    <w:p>
      <w:pPr>
        <w:pStyle w:val="ListParagraph"/>
        <w:keepNext w:val="false"/>
        <w:numPr>
          <w:ilvl w:val="0"/>
          <w:numId w:val="3"/>
        </w:numPr>
        <w:spacing w:after="70" w:line="270"/>
      </w:pPr>
      <w:r>
        <w:rPr>
          <w:rFonts w:ascii="Arial" w:cs="Arial" w:eastAsia="Arial" w:hAnsi="Arial"/>
          <w:b/>
          <w:bCs/>
          <w:color w:val="1B2233"/>
          <w:sz w:val="21"/>
          <w:szCs w:val="21"/>
        </w:rPr>
        <w:t xml:space="preserve">Wysokie 1S–3S i niskie 5S</w:t>
      </w:r>
      <w:r>
        <w:rPr>
          <w:rFonts w:ascii="Arial" w:cs="Arial" w:eastAsia="Arial" w:hAnsi="Arial"/>
          <w:color w:val="1B2233"/>
          <w:sz w:val="21"/>
          <w:szCs w:val="21"/>
        </w:rPr>
        <w:t xml:space="preserve"> oznacza porządek utrzymywany wysiłkiem pojedynczych osób, a nie systemem. Wzmocnij rytm i rolę kierownictwa.</w:t>
      </w:r>
    </w:p>
    <w:p>
      <w:pPr>
        <w:pStyle w:val="ListParagraph"/>
        <w:keepNext w:val="false"/>
        <w:numPr>
          <w:ilvl w:val="0"/>
          <w:numId w:val="3"/>
        </w:numPr>
        <w:spacing w:after="70" w:line="270"/>
      </w:pPr>
      <w:r>
        <w:rPr>
          <w:rFonts w:ascii="Arial" w:cs="Arial" w:eastAsia="Arial" w:hAnsi="Arial"/>
          <w:b/>
          <w:bCs/>
          <w:color w:val="1B2233"/>
          <w:sz w:val="21"/>
          <w:szCs w:val="21"/>
        </w:rPr>
        <w:t xml:space="preserve">Spadek o więcej niż 10 punktów procentowych</w:t>
      </w:r>
      <w:r>
        <w:rPr>
          <w:rFonts w:ascii="Arial" w:cs="Arial" w:eastAsia="Arial" w:hAnsi="Arial"/>
          <w:color w:val="1B2233"/>
          <w:sz w:val="21"/>
          <w:szCs w:val="21"/>
        </w:rPr>
        <w:t xml:space="preserve"> między audytami wymaga rozmowy, nawet jeśli wynik pozostaje powyżej celu.</w:t>
      </w:r>
    </w:p>
    <w:p>
      <w:pPr>
        <w:pStyle w:val="ListParagraph"/>
        <w:keepNext w:val="false"/>
        <w:numPr>
          <w:ilvl w:val="0"/>
          <w:numId w:val="3"/>
        </w:numPr>
        <w:spacing w:after="70" w:line="270"/>
      </w:pPr>
      <w:r>
        <w:rPr>
          <w:rFonts w:ascii="Arial" w:cs="Arial" w:eastAsia="Arial" w:hAnsi="Arial"/>
          <w:b/>
          <w:bCs/>
          <w:color w:val="1B2233"/>
          <w:sz w:val="21"/>
          <w:szCs w:val="21"/>
        </w:rPr>
        <w:t xml:space="preserve">Wynik rośnie, ale lista otwartych działań też rośnie.</w:t>
      </w:r>
      <w:r>
        <w:rPr>
          <w:rFonts w:ascii="Arial" w:cs="Arial" w:eastAsia="Arial" w:hAnsi="Arial"/>
          <w:color w:val="1B2233"/>
          <w:sz w:val="21"/>
          <w:szCs w:val="21"/>
        </w:rPr>
        <w:t xml:space="preserve"> Audyty znajdują problemy, lecz nie są one domykane.</w:t>
      </w:r>
    </w:p>
    <w:p>
      <w:pPr>
        <w:pStyle w:val="ListParagraph"/>
        <w:keepNext w:val="false"/>
        <w:numPr>
          <w:ilvl w:val="0"/>
          <w:numId w:val="3"/>
        </w:numPr>
        <w:spacing w:after="70" w:line="270"/>
      </w:pPr>
      <w:r>
        <w:rPr>
          <w:rFonts w:ascii="Arial" w:cs="Arial" w:eastAsia="Arial" w:hAnsi="Arial"/>
          <w:b/>
          <w:bCs/>
          <w:color w:val="1B2233"/>
          <w:sz w:val="21"/>
          <w:szCs w:val="21"/>
        </w:rPr>
        <w:t xml:space="preserve">Duże różnice między audytorami</w:t>
      </w:r>
      <w:r>
        <w:rPr>
          <w:rFonts w:ascii="Arial" w:cs="Arial" w:eastAsia="Arial" w:hAnsi="Arial"/>
          <w:color w:val="1B2233"/>
          <w:sz w:val="21"/>
          <w:szCs w:val="21"/>
        </w:rPr>
        <w:t xml:space="preserve"> wskazują na potrzebę kalibracji.</w:t>
      </w:r>
    </w:p>
    <w:p>
      <w:pPr>
        <w:pStyle w:val="Heading2"/>
        <w:keepNext/>
        <w:spacing w:after="120" w:before="280"/>
      </w:pPr>
      <w:r>
        <w:rPr>
          <w:rFonts w:ascii="Arial" w:cs="Arial" w:eastAsia="Arial" w:hAnsi="Arial"/>
          <w:b/>
          <w:bCs/>
          <w:color w:val="1F4FD8"/>
          <w:sz w:val="26"/>
          <w:szCs w:val="26"/>
        </w:rPr>
        <w:t xml:space="preserve">6.6 Kalibracja audytorów</w:t>
      </w:r>
    </w:p>
    <w:p>
      <w:pPr>
        <w:spacing w:after="120" w:before="0" w:line="276"/>
        <w:jc w:val="left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Raz na kwartał dwóch audytorów powinno ocenić ten sam obszar niezależnie, a następnie porównać oceny. Rozbieżności większe niż 1 punkt w danym pytaniu omów i ustal regułę (np. co dokładnie znaczy „czytelna etykieta”). Zapisz uzgodnienia, a nowym audytorom pokaż je na zdjęciach. Dwa wyniki różniące się o kilka punktów procentowych to normalne. Różnica rzędu 20 punktów oznacza, że audytorzy oceniają według innych zasad.</w:t>
      </w:r>
    </w:p>
    <w:p>
      <w:pPr>
        <w:spacing w:after="120" w:before="0" w:line="276"/>
        <w:jc w:val="left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Rotuj audytorów: ta sama osoba nie powinna oceniać tego samego obszaru dwa razy z rzędu. Wzajemne audyty krzyżowe uczą zespoły od siebie.</w:t>
      </w:r>
    </w:p>
    <w:p>
      <w:pPr>
        <w:pStyle w:val="Heading2"/>
        <w:keepNext/>
        <w:spacing w:after="120" w:before="280"/>
      </w:pPr>
      <w:r>
        <w:rPr>
          <w:rFonts w:ascii="Arial" w:cs="Arial" w:eastAsia="Arial" w:hAnsi="Arial"/>
          <w:b/>
          <w:bCs/>
          <w:color w:val="1F4FD8"/>
          <w:sz w:val="26"/>
          <w:szCs w:val="26"/>
        </w:rPr>
        <w:t xml:space="preserve">6.7 Pułapki audytu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2800"/>
        <w:gridCol w:w="3838"/>
      </w:tblGrid>
      <w:tr>
        <w:trPr>
          <w:cantSplit/>
          <w:tblHeader/>
        </w:trPr>
        <w:tc>
          <w:tcPr>
            <w:tcW w:type="dxa" w:w="30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0A1A45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Pułapka</w:t>
            </w:r>
          </w:p>
        </w:tc>
        <w:tc>
          <w:tcPr>
            <w:tcW w:type="dxa" w:w="28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0A1A45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Skutek</w:t>
            </w:r>
          </w:p>
        </w:tc>
        <w:tc>
          <w:tcPr>
            <w:tcW w:type="dxa" w:w="38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0A1A45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Jak jej uniknąć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Audyt „na pokaz”: obszar sprzątany przed wizytą</w:t>
            </w:r>
          </w:p>
        </w:tc>
        <w:tc>
          <w:tcPr>
            <w:tcW w:type="dxa" w:w="28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Wynik nie odzwierciedla codzienności.</w:t>
            </w:r>
          </w:p>
        </w:tc>
        <w:tc>
          <w:tcPr>
            <w:tcW w:type="dxa" w:w="38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Nie ogłaszaj dnia, audytuj w trakcie pracy, rozmawiaj z operatorami.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Pobłażliwość i zawyżanie ocen</w:t>
            </w:r>
          </w:p>
        </w:tc>
        <w:tc>
          <w:tcPr>
            <w:tcW w:type="dxa" w:w="28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Brak działań, bo „jest dobrze”.</w:t>
            </w:r>
          </w:p>
        </w:tc>
        <w:tc>
          <w:tcPr>
            <w:tcW w:type="dxa" w:w="38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Zasada wątpliwości, kalibracja, zdjęcia przy ocenach 0–2.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Karanie za niski wynik</w:t>
            </w:r>
          </w:p>
        </w:tc>
        <w:tc>
          <w:tcPr>
            <w:tcW w:type="dxa" w:w="28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Zespoły ukrywają problemy.</w:t>
            </w:r>
          </w:p>
        </w:tc>
        <w:tc>
          <w:tcPr>
            <w:tcW w:type="dxa" w:w="38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Ranking służy do uczenia się. Nagradzaj postęp i szczerość.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Audyt bez działań</w:t>
            </w:r>
          </w:p>
        </w:tc>
        <w:tc>
          <w:tcPr>
            <w:tcW w:type="dxa" w:w="28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Wynik spada, a zaufanie do 5S także.</w:t>
            </w:r>
          </w:p>
        </w:tc>
        <w:tc>
          <w:tcPr>
            <w:tcW w:type="dxa" w:w="38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Każda ocena 0–2 trafia do planu działań z terminem.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Dostosowywanie pytań, żeby pasowały do wyniku</w:t>
            </w:r>
          </w:p>
        </w:tc>
        <w:tc>
          <w:tcPr>
            <w:tcW w:type="dxa" w:w="28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Brak porównywalności w czasie.</w:t>
            </w:r>
          </w:p>
        </w:tc>
        <w:tc>
          <w:tcPr>
            <w:tcW w:type="dxa" w:w="38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Zmieniaj pytania tylko na początku roku i zapisuj zmiany.</w:t>
            </w:r>
          </w:p>
        </w:tc>
      </w:tr>
    </w:tbl>
    <w:p>
      <w:pPr>
        <w:pStyle w:val="Heading1"/>
        <w:keepNext/>
        <w:pageBreakBefore/>
        <w:pBdr>
          <w:bottom w:val="single" w:color="1F4FD8" w:sz="12" w:space="6"/>
        </w:pBdr>
        <w:spacing w:after="200" w:before="0"/>
      </w:pPr>
      <w:r>
        <w:rPr>
          <w:rFonts w:ascii="Arial" w:cs="Arial" w:eastAsia="Arial" w:hAnsi="Arial"/>
          <w:b/>
          <w:bCs/>
          <w:color w:val="0A1A45"/>
          <w:sz w:val="34"/>
          <w:szCs w:val="34"/>
        </w:rPr>
        <w:t xml:space="preserve">7. Po audycie: działania i przegląd</w:t>
      </w:r>
    </w:p>
    <w:p>
      <w:pPr>
        <w:pStyle w:val="Heading2"/>
        <w:keepNext/>
        <w:spacing w:after="120" w:before="280"/>
      </w:pPr>
      <w:r>
        <w:rPr>
          <w:rFonts w:ascii="Arial" w:cs="Arial" w:eastAsia="Arial" w:hAnsi="Arial"/>
          <w:b/>
          <w:bCs/>
          <w:color w:val="1F4FD8"/>
          <w:sz w:val="26"/>
          <w:szCs w:val="26"/>
        </w:rPr>
        <w:t xml:space="preserve">7.1 Plan działań, który się domyka</w:t>
      </w:r>
    </w:p>
    <w:p>
      <w:pPr>
        <w:spacing w:after="120" w:before="0" w:line="276"/>
        <w:jc w:val="left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Zakładka „Plan_działań” w Excelu zbiera uwagi z audytów, codziennej kontroli i wizyt kierownictwa. Dobry wpis ma pięć elementów:</w:t>
      </w:r>
    </w:p>
    <w:p>
      <w:pPr>
        <w:pStyle w:val="ListParagraph"/>
        <w:keepNext w:val="false"/>
        <w:numPr>
          <w:ilvl w:val="0"/>
          <w:numId w:val="3"/>
        </w:numPr>
        <w:spacing w:after="70" w:line="270"/>
      </w:pPr>
      <w:r>
        <w:rPr>
          <w:rFonts w:ascii="Arial" w:cs="Arial" w:eastAsia="Arial" w:hAnsi="Arial"/>
          <w:b/>
          <w:bCs/>
          <w:color w:val="1B2233"/>
          <w:sz w:val="21"/>
          <w:szCs w:val="21"/>
        </w:rPr>
        <w:t xml:space="preserve">Opis problemu</w:t>
      </w:r>
      <w:r>
        <w:rPr>
          <w:rFonts w:ascii="Arial" w:cs="Arial" w:eastAsia="Arial" w:hAnsi="Arial"/>
          <w:color w:val="1B2233"/>
          <w:sz w:val="21"/>
          <w:szCs w:val="21"/>
        </w:rPr>
        <w:t xml:space="preserve"> w formie faktu („brak etykiet na regale R-04”), nie oceny („bałagan”).</w:t>
      </w:r>
    </w:p>
    <w:p>
      <w:pPr>
        <w:pStyle w:val="ListParagraph"/>
        <w:keepNext w:val="false"/>
        <w:numPr>
          <w:ilvl w:val="0"/>
          <w:numId w:val="3"/>
        </w:numPr>
        <w:spacing w:after="70" w:line="270"/>
      </w:pPr>
      <w:r>
        <w:rPr>
          <w:rFonts w:ascii="Arial" w:cs="Arial" w:eastAsia="Arial" w:hAnsi="Arial"/>
          <w:b/>
          <w:bCs/>
          <w:color w:val="1B2233"/>
          <w:sz w:val="21"/>
          <w:szCs w:val="21"/>
        </w:rPr>
        <w:t xml:space="preserve">Działanie korygujące</w:t>
      </w:r>
      <w:r>
        <w:rPr>
          <w:rFonts w:ascii="Arial" w:cs="Arial" w:eastAsia="Arial" w:hAnsi="Arial"/>
          <w:color w:val="1B2233"/>
          <w:sz w:val="21"/>
          <w:szCs w:val="21"/>
        </w:rPr>
        <w:t xml:space="preserve">: konkretne i wykonalne („wydrukować i zamontować etykiety”).</w:t>
      </w:r>
    </w:p>
    <w:p>
      <w:pPr>
        <w:pStyle w:val="ListParagraph"/>
        <w:keepNext w:val="false"/>
        <w:numPr>
          <w:ilvl w:val="0"/>
          <w:numId w:val="3"/>
        </w:numPr>
        <w:spacing w:after="70" w:line="270"/>
      </w:pPr>
      <w:r>
        <w:rPr>
          <w:rFonts w:ascii="Arial" w:cs="Arial" w:eastAsia="Arial" w:hAnsi="Arial"/>
          <w:b/>
          <w:bCs/>
          <w:color w:val="1B2233"/>
          <w:sz w:val="21"/>
          <w:szCs w:val="21"/>
        </w:rPr>
        <w:t xml:space="preserve">Właściciel</w:t>
      </w:r>
      <w:r>
        <w:rPr>
          <w:rFonts w:ascii="Arial" w:cs="Arial" w:eastAsia="Arial" w:hAnsi="Arial"/>
          <w:color w:val="1B2233"/>
          <w:sz w:val="21"/>
          <w:szCs w:val="21"/>
        </w:rPr>
        <w:t xml:space="preserve">: jedna osoba z imienia lub z roli, a nie „zespół”.</w:t>
      </w:r>
    </w:p>
    <w:p>
      <w:pPr>
        <w:pStyle w:val="ListParagraph"/>
        <w:keepNext w:val="false"/>
        <w:numPr>
          <w:ilvl w:val="0"/>
          <w:numId w:val="3"/>
        </w:numPr>
        <w:spacing w:after="70" w:line="270"/>
      </w:pPr>
      <w:r>
        <w:rPr>
          <w:rFonts w:ascii="Arial" w:cs="Arial" w:eastAsia="Arial" w:hAnsi="Arial"/>
          <w:b/>
          <w:bCs/>
          <w:color w:val="1B2233"/>
          <w:sz w:val="21"/>
          <w:szCs w:val="21"/>
        </w:rPr>
        <w:t xml:space="preserve">Termin</w:t>
      </w:r>
      <w:r>
        <w:rPr>
          <w:rFonts w:ascii="Arial" w:cs="Arial" w:eastAsia="Arial" w:hAnsi="Arial"/>
          <w:color w:val="1B2233"/>
          <w:sz w:val="21"/>
          <w:szCs w:val="21"/>
        </w:rPr>
        <w:t xml:space="preserve">: do 2 tygodni dla drobnych poprawek, do 6 tygodni dla większych działań technicznych.</w:t>
      </w:r>
    </w:p>
    <w:p>
      <w:pPr>
        <w:pStyle w:val="ListParagraph"/>
        <w:keepNext w:val="false"/>
        <w:numPr>
          <w:ilvl w:val="0"/>
          <w:numId w:val="3"/>
        </w:numPr>
        <w:spacing w:after="70" w:line="270"/>
      </w:pPr>
      <w:r>
        <w:rPr>
          <w:rFonts w:ascii="Arial" w:cs="Arial" w:eastAsia="Arial" w:hAnsi="Arial"/>
          <w:b/>
          <w:bCs/>
          <w:color w:val="1B2233"/>
          <w:sz w:val="21"/>
          <w:szCs w:val="21"/>
        </w:rPr>
        <w:t xml:space="preserve">Priorytet</w:t>
      </w:r>
      <w:r>
        <w:rPr>
          <w:rFonts w:ascii="Arial" w:cs="Arial" w:eastAsia="Arial" w:hAnsi="Arial"/>
          <w:color w:val="1B2233"/>
          <w:sz w:val="21"/>
          <w:szCs w:val="21"/>
        </w:rPr>
        <w:t xml:space="preserve">: wysoki (bezpieczeństwo, zagrożenie, blokada przejść), średni, niski.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1F4FD8" w:sz="24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110"/>
              <w:left w:type="dxa" w:w="200"/>
              <w:bottom w:type="dxa" w:w="90"/>
              <w:right w:type="dxa" w:w="160"/>
            </w:tcMar>
          </w:tcPr>
          <w:p>
            <w:pPr>
              <w:keepNext/>
              <w:spacing w:after="60"/>
            </w:pPr>
            <w:r>
              <w:rPr>
                <w:rFonts w:ascii="Arial" w:cs="Arial" w:eastAsia="Arial" w:hAnsi="Arial"/>
                <w:b/>
                <w:bCs/>
                <w:color w:val="1F4FD8"/>
                <w:sz w:val="21"/>
                <w:szCs w:val="21"/>
              </w:rPr>
              <w:t xml:space="preserve">Eskalacja</w:t>
            </w:r>
          </w:p>
          <w:p>
            <w:pPr>
              <w:spacing w:after="60" w:line="264"/>
            </w:pPr>
            <w:r>
              <w:rPr>
                <w:rFonts w:ascii="Arial" w:cs="Arial" w:eastAsia="Arial" w:hAnsi="Arial"/>
                <w:b/>
                <w:bCs/>
                <w:color w:val="1B2233"/>
                <w:sz w:val="20"/>
                <w:szCs w:val="20"/>
              </w:rPr>
              <w:t xml:space="preserve">Po terminie</w:t>
            </w:r>
            <w:r>
              <w:rPr>
                <w:rFonts w:ascii="Arial" w:cs="Arial" w:eastAsia="Arial" w:hAnsi="Arial"/>
                <w:color w:val="1B2233"/>
                <w:sz w:val="20"/>
                <w:szCs w:val="20"/>
              </w:rPr>
              <w:t xml:space="preserve"> o 1 dzień: przypomnienie od lidera 5S.</w:t>
            </w:r>
          </w:p>
          <w:p>
            <w:pPr>
              <w:spacing w:after="60" w:line="264"/>
            </w:pPr>
            <w:r>
              <w:rPr>
                <w:rFonts w:ascii="Arial" w:cs="Arial" w:eastAsia="Arial" w:hAnsi="Arial"/>
                <w:b/>
                <w:bCs/>
                <w:color w:val="1B2233"/>
                <w:sz w:val="20"/>
                <w:szCs w:val="20"/>
              </w:rPr>
              <w:t xml:space="preserve">Po terminie</w:t>
            </w:r>
            <w:r>
              <w:rPr>
                <w:rFonts w:ascii="Arial" w:cs="Arial" w:eastAsia="Arial" w:hAnsi="Arial"/>
                <w:color w:val="1B2233"/>
                <w:sz w:val="20"/>
                <w:szCs w:val="20"/>
              </w:rPr>
              <w:t xml:space="preserve"> o 7 dni: rozmowa z kierownikiem obszaru.</w:t>
            </w:r>
          </w:p>
          <w:p>
            <w:pPr>
              <w:spacing w:after="60" w:line="264"/>
            </w:pPr>
            <w:r>
              <w:rPr>
                <w:rFonts w:ascii="Arial" w:cs="Arial" w:eastAsia="Arial" w:hAnsi="Arial"/>
                <w:b/>
                <w:bCs/>
                <w:color w:val="1B2233"/>
                <w:sz w:val="20"/>
                <w:szCs w:val="20"/>
              </w:rPr>
              <w:t xml:space="preserve">Dwa przekroczone terminy</w:t>
            </w:r>
            <w:r>
              <w:rPr>
                <w:rFonts w:ascii="Arial" w:cs="Arial" w:eastAsia="Arial" w:hAnsi="Arial"/>
                <w:color w:val="1B2233"/>
                <w:sz w:val="20"/>
                <w:szCs w:val="20"/>
              </w:rPr>
              <w:t xml:space="preserve"> lub uwaga powtarzająca się w dwóch audytach: temat trafia na miesięczny przegląd. Zadaj pytanie „dlaczego wraca”, a nie tylko „kto zawalił”. Często przyczyną jest brak zasobów lub niedopasowany standard.</w:t>
            </w:r>
          </w:p>
        </w:tc>
      </w:tr>
    </w:tbl>
    <w:p>
      <w:pPr>
        <w:pStyle w:val="Heading2"/>
        <w:keepNext/>
        <w:spacing w:after="120" w:before="280"/>
      </w:pPr>
      <w:r>
        <w:rPr>
          <w:rFonts w:ascii="Arial" w:cs="Arial" w:eastAsia="Arial" w:hAnsi="Arial"/>
          <w:b/>
          <w:bCs/>
          <w:color w:val="1F4FD8"/>
          <w:sz w:val="26"/>
          <w:szCs w:val="26"/>
        </w:rPr>
        <w:t xml:space="preserve">7.2 Czerwone tagi po audycie</w:t>
      </w:r>
    </w:p>
    <w:p>
      <w:pPr>
        <w:spacing w:after="120" w:before="0" w:line="276"/>
        <w:jc w:val="left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Jeśli w trakcie audytu zauważysz przedmioty bez statusu, oznacz je tagiem i wpisz do rejestru. Pilnuj terminów decyzji: tag wiszący dłużej niż tydzień osłabia cały system. W zakładce „Czerwone_tagi” zobaczysz, ile jest tagów po terminie i ile średnio dni trwa podjęcie decyzji.</w:t>
      </w:r>
    </w:p>
    <w:p>
      <w:pPr>
        <w:pStyle w:val="Heading2"/>
        <w:keepNext/>
        <w:spacing w:after="120" w:before="280"/>
      </w:pPr>
      <w:r>
        <w:rPr>
          <w:rFonts w:ascii="Arial" w:cs="Arial" w:eastAsia="Arial" w:hAnsi="Arial"/>
          <w:b/>
          <w:bCs/>
          <w:color w:val="1F4FD8"/>
          <w:sz w:val="26"/>
          <w:szCs w:val="26"/>
        </w:rPr>
        <w:t xml:space="preserve">7.3 Tablica 5S w obszarze</w:t>
      </w:r>
    </w:p>
    <w:p>
      <w:pPr>
        <w:spacing w:after="120" w:before="0" w:line="276"/>
        <w:jc w:val="left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Na tablicy powinny być widoczne: wynik ostatniego audytu i trend (wykres z Excela), 3 najważniejsze otwarte działania, zdjęcia „przed i po”, imię właściciela obszaru i data następnego audytu. Wydrukuj z zestawu formularz „Tablica wyników 5S” (PDF A3). Tablica ma pokazywać prawdę, także gdy wynik spada.</w:t>
      </w:r>
    </w:p>
    <w:p>
      <w:pPr>
        <w:pStyle w:val="Heading2"/>
        <w:keepNext/>
        <w:spacing w:after="120" w:before="280"/>
      </w:pPr>
      <w:r>
        <w:rPr>
          <w:rFonts w:ascii="Arial" w:cs="Arial" w:eastAsia="Arial" w:hAnsi="Arial"/>
          <w:b/>
          <w:bCs/>
          <w:color w:val="1F4FD8"/>
          <w:sz w:val="26"/>
          <w:szCs w:val="26"/>
        </w:rPr>
        <w:t xml:space="preserve">7.4 Miesięczny przegląd 5S</w:t>
      </w:r>
    </w:p>
    <w:p>
      <w:pPr>
        <w:spacing w:after="120" w:before="0" w:line="276"/>
        <w:jc w:val="left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Spotkanie 30–45 minut z udziałem sponsora, lidera, właścicieli obszarów. Stała agenda (załącznik C): wyniki i trend, najstarsze działania, decyzje wymagające kierownictwa, dobra praktyka do powielenia, plan na następny miesiąc. Zapis ze spotkania prowadź na formularzu z zestawu.</w:t>
      </w:r>
    </w:p>
    <w:p>
      <w:pPr>
        <w:pStyle w:val="Heading1"/>
        <w:keepNext/>
        <w:pageBreakBefore/>
        <w:pBdr>
          <w:bottom w:val="single" w:color="1F4FD8" w:sz="12" w:space="6"/>
        </w:pBdr>
        <w:spacing w:after="200" w:before="0"/>
      </w:pPr>
      <w:r>
        <w:rPr>
          <w:rFonts w:ascii="Arial" w:cs="Arial" w:eastAsia="Arial" w:hAnsi="Arial"/>
          <w:b/>
          <w:bCs/>
          <w:color w:val="0A1A45"/>
          <w:sz w:val="34"/>
          <w:szCs w:val="34"/>
        </w:rPr>
        <w:t xml:space="preserve">8. Utrzymanie standardu</w:t>
      </w:r>
    </w:p>
    <w:p>
      <w:pPr>
        <w:spacing w:after="120" w:before="0" w:line="276"/>
        <w:jc w:val="left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Po zakończeniu akcji zaczyna się właściwa praca: utrzymanie. Poniżej zebrano rytm i narzędzia, które zapobiegają powrotowi do stanu wyjściowego.</w:t>
      </w:r>
    </w:p>
    <w:p>
      <w:pPr>
        <w:pStyle w:val="Heading2"/>
        <w:keepNext/>
        <w:spacing w:after="120" w:before="280"/>
      </w:pPr>
      <w:r>
        <w:rPr>
          <w:rFonts w:ascii="Arial" w:cs="Arial" w:eastAsia="Arial" w:hAnsi="Arial"/>
          <w:b/>
          <w:bCs/>
          <w:color w:val="1F4FD8"/>
          <w:sz w:val="26"/>
          <w:szCs w:val="26"/>
        </w:rPr>
        <w:t xml:space="preserve">8.1 Rytm 5S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5638"/>
        <w:gridCol w:w="2000"/>
      </w:tblGrid>
      <w:tr>
        <w:trPr>
          <w:cantSplit/>
          <w:tblHeader/>
        </w:trPr>
        <w:tc>
          <w:tcPr>
            <w:tcW w:type="dxa" w:w="20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0A1A45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Częstotliwość</w:t>
            </w:r>
          </w:p>
        </w:tc>
        <w:tc>
          <w:tcPr>
            <w:tcW w:type="dxa" w:w="56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0A1A45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Co się dzieje</w:t>
            </w:r>
          </w:p>
        </w:tc>
        <w:tc>
          <w:tcPr>
            <w:tcW w:type="dxa" w:w="20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0A1A45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Odpowiedzialny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Codziennie</w:t>
            </w:r>
          </w:p>
        </w:tc>
        <w:tc>
          <w:tcPr>
            <w:tcW w:type="dxa" w:w="56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Pięciominutowa kontrola na koniec zmiany. Odchylenia zgłaszane liderowi.</w:t>
            </w:r>
          </w:p>
        </w:tc>
        <w:tc>
          <w:tcPr>
            <w:tcW w:type="dxa" w:w="20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Operator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Co tydzień</w:t>
            </w:r>
          </w:p>
        </w:tc>
        <w:tc>
          <w:tcPr>
            <w:tcW w:type="dxa" w:w="56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Obchód lidera i brygadzisty. Gemba kierownika w jednym obszarze. Przegląd planu działań.</w:t>
            </w:r>
          </w:p>
        </w:tc>
        <w:tc>
          <w:tcPr>
            <w:tcW w:type="dxa" w:w="20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Lider 5S, kierownik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Co miesiąc</w:t>
            </w:r>
          </w:p>
        </w:tc>
        <w:tc>
          <w:tcPr>
            <w:tcW w:type="dxa" w:w="56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Audyt formalny. Spotkanie przeglądowe. Aktualizacja tablicy.</w:t>
            </w:r>
          </w:p>
        </w:tc>
        <w:tc>
          <w:tcPr>
            <w:tcW w:type="dxa" w:w="20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Audytor, sponsor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Co kwartał</w:t>
            </w:r>
          </w:p>
        </w:tc>
        <w:tc>
          <w:tcPr>
            <w:tcW w:type="dxa" w:w="56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Audyt krzyżowy i kalibracja audytorów. Przegląd czerwonych tagów.</w:t>
            </w:r>
          </w:p>
        </w:tc>
        <w:tc>
          <w:tcPr>
            <w:tcW w:type="dxa" w:w="20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Lider 5S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Co rok</w:t>
            </w:r>
          </w:p>
        </w:tc>
        <w:tc>
          <w:tcPr>
            <w:tcW w:type="dxa" w:w="56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Przegląd standardów, celów i zestawu pytań. Plan na kolejny rok.</w:t>
            </w:r>
          </w:p>
        </w:tc>
        <w:tc>
          <w:tcPr>
            <w:tcW w:type="dxa" w:w="20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Sponsor, lider</w:t>
            </w:r>
          </w:p>
        </w:tc>
      </w:tr>
    </w:tbl>
    <w:p>
      <w:pPr>
        <w:pStyle w:val="Heading2"/>
        <w:keepNext/>
        <w:spacing w:after="120" w:before="280"/>
      </w:pPr>
      <w:r>
        <w:rPr>
          <w:rFonts w:ascii="Arial" w:cs="Arial" w:eastAsia="Arial" w:hAnsi="Arial"/>
          <w:b/>
          <w:bCs/>
          <w:color w:val="1F4FD8"/>
          <w:sz w:val="26"/>
          <w:szCs w:val="26"/>
        </w:rPr>
        <w:t xml:space="preserve">8.2 Gemba kierownictwa: osiem pytań</w:t>
      </w:r>
    </w:p>
    <w:p>
      <w:pPr>
        <w:spacing w:after="120" w:before="0" w:line="276"/>
        <w:jc w:val="left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Wizyta kierownika w obszarze trwa 15–20 minut i polega na pytaniach, nie na ocenie. Dobre pytania do zadania pracownikom:</w:t>
      </w:r>
    </w:p>
    <w:p>
      <w:pPr>
        <w:pStyle w:val="ListParagraph"/>
        <w:numPr>
          <w:ilvl w:val="0"/>
          <w:numId w:val="5"/>
        </w:numPr>
        <w:spacing w:after="80" w:line="270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Co Ci dzisiaj najbardziej przeszkadza w pracy na tym stanowisku?</w:t>
      </w:r>
    </w:p>
    <w:p>
      <w:pPr>
        <w:pStyle w:val="ListParagraph"/>
        <w:numPr>
          <w:ilvl w:val="0"/>
          <w:numId w:val="5"/>
        </w:numPr>
        <w:spacing w:after="80" w:line="270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Czego ostatnio szukałeś najdłużej?</w:t>
      </w:r>
    </w:p>
    <w:p>
      <w:pPr>
        <w:pStyle w:val="ListParagraph"/>
        <w:numPr>
          <w:ilvl w:val="0"/>
          <w:numId w:val="5"/>
        </w:numPr>
        <w:spacing w:after="80" w:line="270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Co się zmieniło w obszarze w ostatnim miesiącu?</w:t>
      </w:r>
    </w:p>
    <w:p>
      <w:pPr>
        <w:pStyle w:val="ListParagraph"/>
        <w:numPr>
          <w:ilvl w:val="0"/>
          <w:numId w:val="5"/>
        </w:numPr>
        <w:spacing w:after="80" w:line="270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Pokaż mi, gdzie jest [wskazane narzędzie] i jak sprawdzasz, czy nie brakuje go na miejscu.</w:t>
      </w:r>
    </w:p>
    <w:p>
      <w:pPr>
        <w:pStyle w:val="ListParagraph"/>
        <w:numPr>
          <w:ilvl w:val="0"/>
          <w:numId w:val="5"/>
        </w:numPr>
        <w:spacing w:after="80" w:line="270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Jak wygląda standard tego miejsca i kiedy był ostatnio aktualizowany?</w:t>
      </w:r>
    </w:p>
    <w:p>
      <w:pPr>
        <w:pStyle w:val="ListParagraph"/>
        <w:numPr>
          <w:ilvl w:val="0"/>
          <w:numId w:val="5"/>
        </w:numPr>
        <w:spacing w:after="80" w:line="270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Jakie uwagi z ostatniego audytu zostały zrealizowane?</w:t>
      </w:r>
    </w:p>
    <w:p>
      <w:pPr>
        <w:pStyle w:val="ListParagraph"/>
        <w:numPr>
          <w:ilvl w:val="0"/>
          <w:numId w:val="5"/>
        </w:numPr>
        <w:spacing w:after="80" w:line="270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Jaki pomysł chciałbyś wdrożyć w swoim obszarze?</w:t>
      </w:r>
    </w:p>
    <w:p>
      <w:pPr>
        <w:pStyle w:val="ListParagraph"/>
        <w:numPr>
          <w:ilvl w:val="0"/>
          <w:numId w:val="5"/>
        </w:numPr>
        <w:spacing w:after="80" w:line="270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Czego Ci potrzeba (od mnie), żeby 5S było prostsze?</w:t>
      </w:r>
    </w:p>
    <w:p>
      <w:pPr>
        <w:pStyle w:val="Heading2"/>
        <w:keepNext/>
        <w:spacing w:after="120" w:before="280"/>
      </w:pPr>
      <w:r>
        <w:rPr>
          <w:rFonts w:ascii="Arial" w:cs="Arial" w:eastAsia="Arial" w:hAnsi="Arial"/>
          <w:b/>
          <w:bCs/>
          <w:color w:val="1F4FD8"/>
          <w:sz w:val="26"/>
          <w:szCs w:val="26"/>
        </w:rPr>
        <w:t xml:space="preserve">8.3 Uznanie bez rywalizacji</w:t>
      </w:r>
    </w:p>
    <w:p>
      <w:pPr>
        <w:spacing w:after="120" w:before="0" w:line="276"/>
        <w:jc w:val="left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Wyróżniaj najpierw </w:t>
      </w:r>
      <w:r>
        <w:rPr>
          <w:rFonts w:ascii="Arial" w:cs="Arial" w:eastAsia="Arial" w:hAnsi="Arial"/>
          <w:b/>
          <w:bCs/>
          <w:color w:val="1B2233"/>
          <w:sz w:val="21"/>
          <w:szCs w:val="21"/>
        </w:rPr>
        <w:t xml:space="preserve">postęp</w:t>
      </w:r>
      <w:r>
        <w:rPr>
          <w:rFonts w:ascii="Arial" w:cs="Arial" w:eastAsia="Arial" w:hAnsi="Arial"/>
          <w:color w:val="1B2233"/>
          <w:sz w:val="21"/>
          <w:szCs w:val="21"/>
        </w:rPr>
        <w:t xml:space="preserve"> (największy wzrost wyniku w kwartale), potem poziom (najwyższy wynik). Rywalizacja czystym rankingiem sprzyja „poprawianiu wyniku” zamiast poprawiania obszaru. Najlepiej działa wyróżnienie konkretnego pomysłu pracownika wdrożonego w obszarze i pokazanie go innym zespołom.</w:t>
      </w:r>
    </w:p>
    <w:p>
      <w:pPr>
        <w:pStyle w:val="Heading2"/>
        <w:keepNext/>
        <w:spacing w:after="120" w:before="280"/>
      </w:pPr>
      <w:r>
        <w:rPr>
          <w:rFonts w:ascii="Arial" w:cs="Arial" w:eastAsia="Arial" w:hAnsi="Arial"/>
          <w:b/>
          <w:bCs/>
          <w:color w:val="1F4FD8"/>
          <w:sz w:val="26"/>
          <w:szCs w:val="26"/>
        </w:rPr>
        <w:t xml:space="preserve">8.4 Co dalej: 5S jako baza</w:t>
      </w:r>
    </w:p>
    <w:p>
      <w:pPr>
        <w:spacing w:after="120" w:before="0" w:line="276"/>
        <w:jc w:val="left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Gdy 5S działa, otwiera się droga do narzędzi, które wymagają stabilnych stanowisk: TPM (autonomiczne utrzymanie ruchu opiera się na sprzątaniu z inspekcją), SMED (przezbrojenia wymagają, aby narzędzia i przyrządy były w znanych miejscach), standardowa praca, kanban. Kalkulatory do tych tematów znajdziesz na processlabpro.com/pl/kalkulatory/ (m.in. OEE, SMED ROI, Gemba Walk, Kaizen ROI).</w:t>
      </w:r>
    </w:p>
    <w:p>
      <w:pPr>
        <w:pStyle w:val="Heading1"/>
        <w:keepNext/>
        <w:pageBreakBefore/>
        <w:pBdr>
          <w:bottom w:val="single" w:color="1F4FD8" w:sz="12" w:space="6"/>
        </w:pBdr>
        <w:spacing w:after="200" w:before="0"/>
      </w:pPr>
      <w:r>
        <w:rPr>
          <w:rFonts w:ascii="Arial" w:cs="Arial" w:eastAsia="Arial" w:hAnsi="Arial"/>
          <w:b/>
          <w:bCs/>
          <w:color w:val="0A1A45"/>
          <w:sz w:val="34"/>
          <w:szCs w:val="34"/>
        </w:rPr>
        <w:t xml:space="preserve">9. Najczęstsze błędy i jak je naprawić</w:t>
      </w:r>
    </w:p>
    <w:p>
      <w:pPr>
        <w:spacing w:after="120" w:before="0" w:line="276"/>
        <w:jc w:val="left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Poniższa tabela to szybka diagnoza. Przeczytaj objaw, sprawdź najbardziej prawdopodobną przyczynę i zastosuj proponowane działanie.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3000"/>
        <w:gridCol w:w="3838"/>
      </w:tblGrid>
      <w:tr>
        <w:trPr>
          <w:cantSplit/>
          <w:tblHeader/>
        </w:trPr>
        <w:tc>
          <w:tcPr>
            <w:tcW w:type="dxa" w:w="28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0A1A45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Objaw</w:t>
            </w:r>
          </w:p>
        </w:tc>
        <w:tc>
          <w:tcPr>
            <w:tcW w:type="dxa" w:w="30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0A1A45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Prawdopodobna przyczyna</w:t>
            </w:r>
          </w:p>
        </w:tc>
        <w:tc>
          <w:tcPr>
            <w:tcW w:type="dxa" w:w="38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0A1A45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Co zrobić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8"/>
                <w:szCs w:val="18"/>
              </w:rPr>
              <w:t xml:space="preserve">Po 2–3 miesiącach wszystko wraca do starego stanu</w:t>
            </w:r>
          </w:p>
        </w:tc>
        <w:tc>
          <w:tcPr>
            <w:tcW w:type="dxa" w:w="30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8"/>
                <w:szCs w:val="18"/>
              </w:rPr>
              <w:t xml:space="preserve">Brak rytmu i zaangażowania kierownictwa. 4S i 5S zostały pominięte.</w:t>
            </w:r>
          </w:p>
        </w:tc>
        <w:tc>
          <w:tcPr>
            <w:tcW w:type="dxa" w:w="38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8"/>
                <w:szCs w:val="18"/>
              </w:rPr>
              <w:t xml:space="preserve">Wprowadź codzienną kontrolę i cotygodniową gembę. Ustal właściciela obszaru z imienia.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8"/>
                <w:szCs w:val="18"/>
              </w:rPr>
              <w:t xml:space="preserve">Audyty dają 90–95%, a hala wygląda gorzej</w:t>
            </w:r>
          </w:p>
        </w:tc>
        <w:tc>
          <w:tcPr>
            <w:tcW w:type="dxa" w:w="30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8"/>
                <w:szCs w:val="18"/>
              </w:rPr>
              <w:t xml:space="preserve">Zawyżone oceny, brak kalibracji, audyt zapowiedziany.</w:t>
            </w:r>
          </w:p>
        </w:tc>
        <w:tc>
          <w:tcPr>
            <w:tcW w:type="dxa" w:w="38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8"/>
                <w:szCs w:val="18"/>
              </w:rPr>
              <w:t xml:space="preserve">Audytor z zewnątrz obszaru. Zasada wątpliwości. Zdjęcia przy ocenach. Kalibracja co kwartał.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8"/>
                <w:szCs w:val="18"/>
              </w:rPr>
              <w:t xml:space="preserve">Pracownicy traktują 5S jako dodatkowy obowiązek</w:t>
            </w:r>
          </w:p>
        </w:tc>
        <w:tc>
          <w:tcPr>
            <w:tcW w:type="dxa" w:w="30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8"/>
                <w:szCs w:val="18"/>
              </w:rPr>
              <w:t xml:space="preserve">Standard narzucony z góry, brak korzyści dla ludzi.</w:t>
            </w:r>
          </w:p>
        </w:tc>
        <w:tc>
          <w:tcPr>
            <w:tcW w:type="dxa" w:w="38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8"/>
                <w:szCs w:val="18"/>
              </w:rPr>
              <w:t xml:space="preserve">Zaangażuj zespół w wybór miejsc i układu. Pokaż mierzalną korzyść (czas szukania). Zbieraj i wdrażaj ich pomysły.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8"/>
                <w:szCs w:val="18"/>
              </w:rPr>
              <w:t xml:space="preserve">Czerwone tagi wiszą tygodniami</w:t>
            </w:r>
          </w:p>
        </w:tc>
        <w:tc>
          <w:tcPr>
            <w:tcW w:type="dxa" w:w="30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8"/>
                <w:szCs w:val="18"/>
              </w:rPr>
              <w:t xml:space="preserve">Brak właściciela decyzji lub terminu.</w:t>
            </w:r>
          </w:p>
        </w:tc>
        <w:tc>
          <w:tcPr>
            <w:tcW w:type="dxa" w:w="38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8"/>
                <w:szCs w:val="18"/>
              </w:rPr>
              <w:t xml:space="preserve">Wyznacz osobę decyzyjną, termin 7 dni, tygodniowy przegląd rejestru.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8"/>
                <w:szCs w:val="18"/>
              </w:rPr>
              <w:t xml:space="preserve">Etykiety odpadają lub ścierają się</w:t>
            </w:r>
          </w:p>
        </w:tc>
        <w:tc>
          <w:tcPr>
            <w:tcW w:type="dxa" w:w="30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8"/>
                <w:szCs w:val="18"/>
              </w:rPr>
              <w:t xml:space="preserve">Niewłaściwy materiał, brak jednolitego systemu.</w:t>
            </w:r>
          </w:p>
        </w:tc>
        <w:tc>
          <w:tcPr>
            <w:tcW w:type="dxa" w:w="38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8"/>
                <w:szCs w:val="18"/>
              </w:rPr>
              <w:t xml:space="preserve">Wybierz etykiety odporne na warunki hali. Opracuj standard formatu i miejsca naklejania.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8"/>
                <w:szCs w:val="18"/>
              </w:rPr>
              <w:t xml:space="preserve">1S–3S wysoko, 5S nisko</w:t>
            </w:r>
          </w:p>
        </w:tc>
        <w:tc>
          <w:tcPr>
            <w:tcW w:type="dxa" w:w="30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8"/>
                <w:szCs w:val="18"/>
              </w:rPr>
              <w:t xml:space="preserve">Porządek wynika z wysiłku jednostek, nie z systemu.</w:t>
            </w:r>
          </w:p>
        </w:tc>
        <w:tc>
          <w:tcPr>
            <w:tcW w:type="dxa" w:w="38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8"/>
                <w:szCs w:val="18"/>
              </w:rPr>
              <w:t xml:space="preserve">Rytm, gemba, rotacja audytorów, domykanie działań.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8"/>
                <w:szCs w:val="18"/>
              </w:rPr>
              <w:t xml:space="preserve">Lista 5 minut wypełniona „hurtem”</w:t>
            </w:r>
          </w:p>
        </w:tc>
        <w:tc>
          <w:tcPr>
            <w:tcW w:type="dxa" w:w="30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8"/>
                <w:szCs w:val="18"/>
              </w:rPr>
              <w:t xml:space="preserve">Lista nie ma wartości dla zespołu.</w:t>
            </w:r>
          </w:p>
        </w:tc>
        <w:tc>
          <w:tcPr>
            <w:tcW w:type="dxa" w:w="38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8"/>
                <w:szCs w:val="18"/>
              </w:rPr>
              <w:t xml:space="preserve">Skróć do 8 punktów, wprowadź podpis na koniec każdej zmiany, sprawdzaj losowo w trakcie gemby.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8"/>
                <w:szCs w:val="18"/>
              </w:rPr>
              <w:t xml:space="preserve">Kierownik „nie ma czasu” na gembę</w:t>
            </w:r>
          </w:p>
        </w:tc>
        <w:tc>
          <w:tcPr>
            <w:tcW w:type="dxa" w:w="30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8"/>
                <w:szCs w:val="18"/>
              </w:rPr>
              <w:t xml:space="preserve">5S nie jest priorytetem.</w:t>
            </w:r>
          </w:p>
        </w:tc>
        <w:tc>
          <w:tcPr>
            <w:tcW w:type="dxa" w:w="38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8"/>
                <w:szCs w:val="18"/>
              </w:rPr>
              <w:t xml:space="preserve">Ustal stałe 15 minut w kalendarzu. Włącz wynik 5S do przeglądu miesięcznego.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8"/>
                <w:szCs w:val="18"/>
              </w:rPr>
              <w:t xml:space="preserve">Działania z audytów po terminie</w:t>
            </w:r>
          </w:p>
        </w:tc>
        <w:tc>
          <w:tcPr>
            <w:tcW w:type="dxa" w:w="30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8"/>
                <w:szCs w:val="18"/>
              </w:rPr>
              <w:t xml:space="preserve">Brak zasobów, niejasny właściciel, zbyt ambitne terminy.</w:t>
            </w:r>
          </w:p>
        </w:tc>
        <w:tc>
          <w:tcPr>
            <w:tcW w:type="dxa" w:w="38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8"/>
                <w:szCs w:val="18"/>
              </w:rPr>
              <w:t xml:space="preserve">Zmniejsz liczbę działań, ustaw priorytety, dopasuj terminy. Zasoby omów na miesięcznym przeglądzie.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8"/>
                <w:szCs w:val="18"/>
              </w:rPr>
              <w:t xml:space="preserve">Różne obszary mają różne standardy</w:t>
            </w:r>
          </w:p>
        </w:tc>
        <w:tc>
          <w:tcPr>
            <w:tcW w:type="dxa" w:w="30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8"/>
                <w:szCs w:val="18"/>
              </w:rPr>
              <w:t xml:space="preserve">Brak wspólnej zasady oznaczeń.</w:t>
            </w:r>
          </w:p>
        </w:tc>
        <w:tc>
          <w:tcPr>
            <w:tcW w:type="dxa" w:w="38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8"/>
                <w:szCs w:val="18"/>
              </w:rPr>
              <w:t xml:space="preserve">Opracuj jeden dokument zakładowy z kodem kolorów i formatem etykiet.</w:t>
            </w:r>
          </w:p>
        </w:tc>
      </w:tr>
    </w:tbl>
    <w:p>
      <w:pPr>
        <w:pStyle w:val="Heading1"/>
        <w:keepNext/>
        <w:pageBreakBefore/>
        <w:pBdr>
          <w:bottom w:val="single" w:color="1F4FD8" w:sz="12" w:space="6"/>
        </w:pBdr>
        <w:spacing w:after="200" w:before="0"/>
      </w:pPr>
      <w:r>
        <w:rPr>
          <w:rFonts w:ascii="Arial" w:cs="Arial" w:eastAsia="Arial" w:hAnsi="Arial"/>
          <w:b/>
          <w:bCs/>
          <w:color w:val="0A1A45"/>
          <w:sz w:val="34"/>
          <w:szCs w:val="34"/>
        </w:rPr>
        <w:t xml:space="preserve">10. Pytania i odpowiedzi</w:t>
      </w:r>
    </w:p>
    <w:p>
      <w:pPr>
        <w:pStyle w:val="Heading3"/>
        <w:keepNext/>
        <w:spacing w:after="80" w:before="200"/>
      </w:pPr>
      <w:r>
        <w:rPr>
          <w:rFonts w:ascii="Arial" w:cs="Arial" w:eastAsia="Arial" w:hAnsi="Arial"/>
          <w:b/>
          <w:bCs/>
          <w:color w:val="0A1A45"/>
          <w:sz w:val="22"/>
          <w:szCs w:val="22"/>
        </w:rPr>
        <w:t xml:space="preserve">Ile trwa wdrożenie?</w:t>
      </w:r>
    </w:p>
    <w:p>
      <w:pPr>
        <w:spacing w:after="120" w:before="0" w:line="276"/>
        <w:jc w:val="left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Pilot w jednym obszarze to zwykle 4–6 tygodni na 1S–3S, a pełne wdrożenie z rytmem utrzymania około 90 dni. Rozszerzenie na cały zakład zależy od liczby obszarów i zasobów, ale lepiej wdrażać kolejno niż na raz.</w:t>
      </w:r>
    </w:p>
    <w:p>
      <w:pPr>
        <w:pStyle w:val="Heading3"/>
        <w:keepNext/>
        <w:spacing w:after="80" w:before="200"/>
      </w:pPr>
      <w:r>
        <w:rPr>
          <w:rFonts w:ascii="Arial" w:cs="Arial" w:eastAsia="Arial" w:hAnsi="Arial"/>
          <w:b/>
          <w:bCs/>
          <w:color w:val="0A1A45"/>
          <w:sz w:val="22"/>
          <w:szCs w:val="22"/>
        </w:rPr>
        <w:t xml:space="preserve">Czy mogę zmienić pytania audytowe?</w:t>
      </w:r>
    </w:p>
    <w:p>
      <w:pPr>
        <w:spacing w:after="120" w:before="0" w:line="276"/>
        <w:jc w:val="left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Tak, w zakładce „Checklista” edytujesz treść pytań (żółte pola). Zachowaj 8 pytań na każde S, żeby wyniki były porównywalne. Zmiany wprowadzaj na początku roku i zapisz, co zmieniłeś.</w:t>
      </w:r>
    </w:p>
    <w:p>
      <w:pPr>
        <w:pStyle w:val="Heading3"/>
        <w:keepNext/>
        <w:spacing w:after="80" w:before="200"/>
      </w:pPr>
      <w:r>
        <w:rPr>
          <w:rFonts w:ascii="Arial" w:cs="Arial" w:eastAsia="Arial" w:hAnsi="Arial"/>
          <w:b/>
          <w:bCs/>
          <w:color w:val="0A1A45"/>
          <w:sz w:val="22"/>
          <w:szCs w:val="22"/>
        </w:rPr>
        <w:t xml:space="preserve">Jak dopasować zestaw do magazynu?</w:t>
      </w:r>
    </w:p>
    <w:p>
      <w:pPr>
        <w:spacing w:after="120" w:before="0" w:line="276"/>
        <w:jc w:val="left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Pytania 1–5 zachowują sens. Zastąp przykłady: stanowisko → lokalizacja, maszyna → regał lub strefa kompletacji. Dodaj pytania o drogi wózków, oznaczenia lokalizacji i zgodność stanów. W Ustawieniach wpisz strefy magazynu jako obszary.</w:t>
      </w:r>
    </w:p>
    <w:p>
      <w:pPr>
        <w:pStyle w:val="Heading3"/>
        <w:keepNext/>
        <w:spacing w:after="80" w:before="200"/>
      </w:pPr>
      <w:r>
        <w:rPr>
          <w:rFonts w:ascii="Arial" w:cs="Arial" w:eastAsia="Arial" w:hAnsi="Arial"/>
          <w:b/>
          <w:bCs/>
          <w:color w:val="0A1A45"/>
          <w:sz w:val="22"/>
          <w:szCs w:val="22"/>
        </w:rPr>
        <w:t xml:space="preserve">Jak dopasować zestaw do biura?</w:t>
      </w:r>
    </w:p>
    <w:p>
      <w:pPr>
        <w:spacing w:after="120" w:before="0" w:line="276"/>
        <w:jc w:val="left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Zasady są takie same (sortowanie dokumentów i plików, systematyka, czystość biurek, standardy, nawyk), ale pytania audytu wymagają przepisania. Rozważ osobną wersję pytań.</w:t>
      </w:r>
    </w:p>
    <w:p>
      <w:pPr>
        <w:pStyle w:val="Heading3"/>
        <w:keepNext/>
        <w:spacing w:after="80" w:before="200"/>
      </w:pPr>
      <w:r>
        <w:rPr>
          <w:rFonts w:ascii="Arial" w:cs="Arial" w:eastAsia="Arial" w:hAnsi="Arial"/>
          <w:b/>
          <w:bCs/>
          <w:color w:val="0A1A45"/>
          <w:sz w:val="22"/>
          <w:szCs w:val="22"/>
        </w:rPr>
        <w:t xml:space="preserve">Co z pracą na kilka zmian?</w:t>
      </w:r>
    </w:p>
    <w:p>
      <w:pPr>
        <w:spacing w:after="120" w:before="0" w:line="276"/>
        <w:jc w:val="left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Standard obszaru jest wspólny dla wszystkich zmian. Kontrola 5 minut kończy zmianę, a następna zmiana potwierdza stan przy przejęciu. Audytuj w różnych porach, także na nocnej zmianie.</w:t>
      </w:r>
    </w:p>
    <w:p>
      <w:pPr>
        <w:pStyle w:val="Heading3"/>
        <w:keepNext/>
        <w:spacing w:after="80" w:before="200"/>
      </w:pPr>
      <w:r>
        <w:rPr>
          <w:rFonts w:ascii="Arial" w:cs="Arial" w:eastAsia="Arial" w:hAnsi="Arial"/>
          <w:b/>
          <w:bCs/>
          <w:color w:val="0A1A45"/>
          <w:sz w:val="22"/>
          <w:szCs w:val="22"/>
        </w:rPr>
        <w:t xml:space="preserve">Czy muszę kupować drogie materiały?</w:t>
      </w:r>
    </w:p>
    <w:p>
      <w:pPr>
        <w:spacing w:after="120" w:before="0" w:line="276"/>
        <w:jc w:val="left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Nie. Na start wystarczą czerwone tagi, taśma, markery i etykiety. Droższe rozwiązania (cienie na piance, tace, osłony) wprowadzaj tam, gdzie widać realny zwrot.</w:t>
      </w:r>
    </w:p>
    <w:p>
      <w:pPr>
        <w:pStyle w:val="Heading3"/>
        <w:keepNext/>
        <w:spacing w:after="80" w:before="200"/>
      </w:pPr>
      <w:r>
        <w:rPr>
          <w:rFonts w:ascii="Arial" w:cs="Arial" w:eastAsia="Arial" w:hAnsi="Arial"/>
          <w:b/>
          <w:bCs/>
          <w:color w:val="0A1A45"/>
          <w:sz w:val="22"/>
          <w:szCs w:val="22"/>
        </w:rPr>
        <w:t xml:space="preserve">Kto ma sprzątać?</w:t>
      </w:r>
    </w:p>
    <w:p>
      <w:pPr>
        <w:spacing w:after="120" w:before="0" w:line="276"/>
        <w:jc w:val="left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Operatorzy własnych stanowisk i obszarów, w ramach planu sprzątania. Służby sprzątające zajmują się częściami wspólnymi. Podział zapisz w planie i przypisz właścicieli.</w:t>
      </w:r>
    </w:p>
    <w:p>
      <w:pPr>
        <w:pStyle w:val="Heading3"/>
        <w:keepNext/>
        <w:spacing w:after="80" w:before="200"/>
      </w:pPr>
      <w:r>
        <w:rPr>
          <w:rFonts w:ascii="Arial" w:cs="Arial" w:eastAsia="Arial" w:hAnsi="Arial"/>
          <w:b/>
          <w:bCs/>
          <w:color w:val="0A1A45"/>
          <w:sz w:val="22"/>
          <w:szCs w:val="22"/>
        </w:rPr>
        <w:t xml:space="preserve">Czy Excel wymaga makr?</w:t>
      </w:r>
    </w:p>
    <w:p>
      <w:pPr>
        <w:spacing w:after="120" w:before="0" w:line="276"/>
        <w:jc w:val="left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Nie. Plik działa bez makr, więc nie wymaga zgody na ich uruchamianie. Zalecany jest Microsoft Excel 2010 lub nowszy. Do wydruku formularzy wystarczy dowolna przeglądarka PDF.</w:t>
      </w:r>
    </w:p>
    <w:p>
      <w:pPr>
        <w:pStyle w:val="Heading3"/>
        <w:keepNext/>
        <w:spacing w:after="80" w:before="200"/>
      </w:pPr>
      <w:r>
        <w:rPr>
          <w:rFonts w:ascii="Arial" w:cs="Arial" w:eastAsia="Arial" w:hAnsi="Arial"/>
          <w:b/>
          <w:bCs/>
          <w:color w:val="0A1A45"/>
          <w:sz w:val="22"/>
          <w:szCs w:val="22"/>
        </w:rPr>
        <w:t xml:space="preserve">Czy mogę udostępnić zestaw innym zakładom grupy?</w:t>
      </w:r>
    </w:p>
    <w:p>
      <w:pPr>
        <w:spacing w:after="120" w:before="0" w:line="276"/>
        <w:jc w:val="left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Licencja obejmuje użytek wewnętrzny jednego zakładu. Dla grup i większych wdrożeń napisz na kontakt@processlabpro.com.</w:t>
      </w:r>
    </w:p>
    <w:p>
      <w:pPr>
        <w:pStyle w:val="Heading1"/>
        <w:keepNext/>
        <w:pageBreakBefore/>
        <w:pBdr>
          <w:bottom w:val="single" w:color="1F4FD8" w:sz="12" w:space="6"/>
        </w:pBdr>
        <w:spacing w:after="200" w:before="0"/>
      </w:pPr>
      <w:r>
        <w:rPr>
          <w:rFonts w:ascii="Arial" w:cs="Arial" w:eastAsia="Arial" w:hAnsi="Arial"/>
          <w:b/>
          <w:bCs/>
          <w:color w:val="0A1A45"/>
          <w:sz w:val="34"/>
          <w:szCs w:val="34"/>
        </w:rPr>
        <w:t xml:space="preserve">Załączniki</w:t>
      </w:r>
    </w:p>
    <w:p>
      <w:pPr>
        <w:pStyle w:val="Heading2"/>
        <w:keepNext/>
        <w:spacing w:after="120" w:before="280"/>
      </w:pPr>
      <w:r>
        <w:rPr>
          <w:rFonts w:ascii="Arial" w:cs="Arial" w:eastAsia="Arial" w:hAnsi="Arial"/>
          <w:b/>
          <w:bCs/>
          <w:color w:val="1F4FD8"/>
          <w:sz w:val="26"/>
          <w:szCs w:val="26"/>
        </w:rPr>
        <w:t xml:space="preserve">A. Agenda szkolenia zespołu pilotażu (60–90 minut)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5000"/>
        <w:gridCol w:w="3438"/>
      </w:tblGrid>
      <w:tr>
        <w:trPr>
          <w:cantSplit/>
          <w:tblHeader/>
        </w:trPr>
        <w:tc>
          <w:tcPr>
            <w:tcW w:type="dxa" w:w="12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0A1A45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Czas</w:t>
            </w:r>
          </w:p>
        </w:tc>
        <w:tc>
          <w:tcPr>
            <w:tcW w:type="dxa" w:w="50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0A1A45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Temat</w:t>
            </w:r>
          </w:p>
        </w:tc>
        <w:tc>
          <w:tcPr>
            <w:tcW w:type="dxa" w:w="34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0A1A45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Forma</w:t>
            </w:r>
          </w:p>
        </w:tc>
      </w:tr>
      <w:tr>
        <w:trPr>
          <w:cantSplit/>
        </w:trPr>
        <w:tc>
          <w:tcPr>
            <w:tcW w:type="dxa" w:w="12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10 min</w:t>
            </w:r>
          </w:p>
        </w:tc>
        <w:tc>
          <w:tcPr>
            <w:tcW w:type="dxa" w:w="50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Po co 5S: problemy zespołu i cel wdrożenia</w:t>
            </w:r>
          </w:p>
        </w:tc>
        <w:tc>
          <w:tcPr>
            <w:tcW w:type="dxa" w:w="34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Rozmowa, pytanie „co Wam przeszkadza?”</w:t>
            </w:r>
          </w:p>
        </w:tc>
      </w:tr>
      <w:tr>
        <w:trPr>
          <w:cantSplit/>
        </w:trPr>
        <w:tc>
          <w:tcPr>
            <w:tcW w:type="dxa" w:w="12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15 min</w:t>
            </w:r>
          </w:p>
        </w:tc>
        <w:tc>
          <w:tcPr>
            <w:tcW w:type="dxa" w:w="50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Pięć kroków 5S na przykładach z hali</w:t>
            </w:r>
          </w:p>
        </w:tc>
        <w:tc>
          <w:tcPr>
            <w:tcW w:type="dxa" w:w="34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Prezentacja ze zdjęciami „przed i po”</w:t>
            </w:r>
          </w:p>
        </w:tc>
      </w:tr>
      <w:tr>
        <w:trPr>
          <w:cantSplit/>
        </w:trPr>
        <w:tc>
          <w:tcPr>
            <w:tcW w:type="dxa" w:w="12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15 min</w:t>
            </w:r>
          </w:p>
        </w:tc>
        <w:tc>
          <w:tcPr>
            <w:tcW w:type="dxa" w:w="50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Czerwony tag i strefa kwarantanny: zasady i uprawnienia do decyzji</w:t>
            </w:r>
          </w:p>
        </w:tc>
        <w:tc>
          <w:tcPr>
            <w:tcW w:type="dxa" w:w="34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Pokaz formularza, ćwiczenie na jednym przedmiocie</w:t>
            </w:r>
          </w:p>
        </w:tc>
      </w:tr>
      <w:tr>
        <w:trPr>
          <w:cantSplit/>
        </w:trPr>
        <w:tc>
          <w:tcPr>
            <w:tcW w:type="dxa" w:w="12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15 min</w:t>
            </w:r>
          </w:p>
        </w:tc>
        <w:tc>
          <w:tcPr>
            <w:tcW w:type="dxa" w:w="50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Praktyka: oznaczanie tagami na jednym stanowisku</w:t>
            </w:r>
          </w:p>
        </w:tc>
        <w:tc>
          <w:tcPr>
            <w:tcW w:type="dxa" w:w="34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Ćwiczenie w obszarze</w:t>
            </w:r>
          </w:p>
        </w:tc>
      </w:tr>
      <w:tr>
        <w:trPr>
          <w:cantSplit/>
        </w:trPr>
        <w:tc>
          <w:tcPr>
            <w:tcW w:type="dxa" w:w="12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10 min</w:t>
            </w:r>
          </w:p>
        </w:tc>
        <w:tc>
          <w:tcPr>
            <w:tcW w:type="dxa" w:w="50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Plan wdrożenia, role, harmonogram audytów</w:t>
            </w:r>
          </w:p>
        </w:tc>
        <w:tc>
          <w:tcPr>
            <w:tcW w:type="dxa" w:w="34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Omówienie, pytania</w:t>
            </w:r>
          </w:p>
        </w:tc>
      </w:tr>
      <w:tr>
        <w:trPr>
          <w:cantSplit/>
        </w:trPr>
        <w:tc>
          <w:tcPr>
            <w:tcW w:type="dxa" w:w="12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5–15 min</w:t>
            </w:r>
          </w:p>
        </w:tc>
        <w:tc>
          <w:tcPr>
            <w:tcW w:type="dxa" w:w="50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Pytania, obawy, ustalenia</w:t>
            </w:r>
          </w:p>
        </w:tc>
        <w:tc>
          <w:tcPr>
            <w:tcW w:type="dxa" w:w="34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Rozmowa</w:t>
            </w:r>
          </w:p>
        </w:tc>
      </w:tr>
    </w:tbl>
    <w:p>
      <w:pPr>
        <w:pStyle w:val="Heading2"/>
        <w:keepNext/>
        <w:spacing w:after="120" w:before="280"/>
      </w:pPr>
      <w:r>
        <w:rPr>
          <w:rFonts w:ascii="Arial" w:cs="Arial" w:eastAsia="Arial" w:hAnsi="Arial"/>
          <w:b/>
          <w:bCs/>
          <w:color w:val="1F4FD8"/>
          <w:sz w:val="26"/>
          <w:szCs w:val="26"/>
        </w:rPr>
        <w:t xml:space="preserve">B. Lista 5 minut: propozycja punktów</w:t>
      </w:r>
    </w:p>
    <w:p>
      <w:pPr>
        <w:pStyle w:val="ListParagraph"/>
        <w:numPr>
          <w:ilvl w:val="0"/>
          <w:numId w:val="6"/>
        </w:numPr>
        <w:spacing w:after="80" w:line="270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Narzędzia i materiały wróciły na swoje miejsca.</w:t>
      </w:r>
    </w:p>
    <w:p>
      <w:pPr>
        <w:pStyle w:val="ListParagraph"/>
        <w:numPr>
          <w:ilvl w:val="0"/>
          <w:numId w:val="6"/>
        </w:numPr>
        <w:spacing w:after="80" w:line="270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Na stanowisku nie ma rzeczy zbędnych ani prywatnych.</w:t>
      </w:r>
    </w:p>
    <w:p>
      <w:pPr>
        <w:pStyle w:val="ListParagraph"/>
        <w:numPr>
          <w:ilvl w:val="0"/>
          <w:numId w:val="6"/>
        </w:numPr>
        <w:spacing w:after="80" w:line="270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Podłoga wokół stanowiska jest czysta, bez wycieków i resztek.</w:t>
      </w:r>
    </w:p>
    <w:p>
      <w:pPr>
        <w:pStyle w:val="ListParagraph"/>
        <w:numPr>
          <w:ilvl w:val="0"/>
          <w:numId w:val="6"/>
        </w:numPr>
        <w:spacing w:after="80" w:line="270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Maszyna i osłony są czyste, nie widać nowych wycieków.</w:t>
      </w:r>
    </w:p>
    <w:p>
      <w:pPr>
        <w:pStyle w:val="ListParagraph"/>
        <w:numPr>
          <w:ilvl w:val="0"/>
          <w:numId w:val="6"/>
        </w:numPr>
        <w:spacing w:after="80" w:line="270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Pojemniki na odpady są opróżnione lub poniżej 80%.</w:t>
      </w:r>
    </w:p>
    <w:p>
      <w:pPr>
        <w:pStyle w:val="ListParagraph"/>
        <w:numPr>
          <w:ilvl w:val="0"/>
          <w:numId w:val="6"/>
        </w:numPr>
        <w:spacing w:after="80" w:line="270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Drogi komunikacyjne i dojście do sprzętu ppoż. są wolne.</w:t>
      </w:r>
    </w:p>
    <w:p>
      <w:pPr>
        <w:pStyle w:val="ListParagraph"/>
        <w:numPr>
          <w:ilvl w:val="0"/>
          <w:numId w:val="6"/>
        </w:numPr>
        <w:spacing w:after="80" w:line="270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Standard (zdjęcie) odpowiada stanowi stanowiska.</w:t>
      </w:r>
    </w:p>
    <w:p>
      <w:pPr>
        <w:pStyle w:val="ListParagraph"/>
        <w:numPr>
          <w:ilvl w:val="0"/>
          <w:numId w:val="6"/>
        </w:numPr>
        <w:spacing w:after="80" w:line="270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Anomalie zapisane (kto, co, kiedy) i zgłoszone liderowi.</w:t>
      </w:r>
    </w:p>
    <w:p>
      <w:pPr>
        <w:spacing w:after="120" w:before="0" w:line="276"/>
        <w:jc w:val="left"/>
      </w:pPr>
      <w:r>
        <w:rPr>
          <w:rFonts w:ascii="Arial" w:cs="Arial" w:eastAsia="Arial" w:hAnsi="Arial"/>
          <w:color w:val="5B6475"/>
          <w:sz w:val="19"/>
          <w:szCs w:val="19"/>
        </w:rPr>
        <w:t xml:space="preserve">Wersja do druku (PDF A4) znajduje się w pliku „5S_Formularze_A4.pdf”.</w:t>
      </w:r>
    </w:p>
    <w:p>
      <w:pPr>
        <w:pStyle w:val="Heading2"/>
        <w:keepNext/>
        <w:spacing w:after="120" w:before="280"/>
      </w:pPr>
      <w:r>
        <w:rPr>
          <w:rFonts w:ascii="Arial" w:cs="Arial" w:eastAsia="Arial" w:hAnsi="Arial"/>
          <w:b/>
          <w:bCs/>
          <w:color w:val="1F4FD8"/>
          <w:sz w:val="26"/>
          <w:szCs w:val="26"/>
        </w:rPr>
        <w:t xml:space="preserve">C. Agenda miesięcznego przeglądu 5S (30–45 minut)</w:t>
      </w:r>
    </w:p>
    <w:p>
      <w:pPr>
        <w:pStyle w:val="ListParagraph"/>
        <w:numPr>
          <w:ilvl w:val="0"/>
          <w:numId w:val="7"/>
        </w:numPr>
        <w:spacing w:after="80" w:line="270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Wyniki audytów i trend (z panelu Dashboard): 5 minut.</w:t>
      </w:r>
    </w:p>
    <w:p>
      <w:pPr>
        <w:pStyle w:val="ListParagraph"/>
        <w:numPr>
          <w:ilvl w:val="0"/>
          <w:numId w:val="7"/>
        </w:numPr>
        <w:spacing w:after="80" w:line="270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Zaległe i najstarsze działania, decyzje potrzebne od kierownictwa: 10 minut.</w:t>
      </w:r>
    </w:p>
    <w:p>
      <w:pPr>
        <w:pStyle w:val="ListParagraph"/>
        <w:numPr>
          <w:ilvl w:val="0"/>
          <w:numId w:val="7"/>
        </w:numPr>
        <w:spacing w:after="80" w:line="270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Czerwone tagi po terminie: 5 minut.</w:t>
      </w:r>
    </w:p>
    <w:p>
      <w:pPr>
        <w:pStyle w:val="ListParagraph"/>
        <w:numPr>
          <w:ilvl w:val="0"/>
          <w:numId w:val="7"/>
        </w:numPr>
        <w:spacing w:after="80" w:line="270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Dobra praktyka do powielenia w innych obszarach: 5 minut.</w:t>
      </w:r>
    </w:p>
    <w:p>
      <w:pPr>
        <w:pStyle w:val="ListParagraph"/>
        <w:numPr>
          <w:ilvl w:val="0"/>
          <w:numId w:val="7"/>
        </w:numPr>
        <w:spacing w:after="80" w:line="270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Wyniki wizyt kierownictwa i pomysły pracowników: 5 minut.</w:t>
      </w:r>
    </w:p>
    <w:p>
      <w:pPr>
        <w:pStyle w:val="ListParagraph"/>
        <w:numPr>
          <w:ilvl w:val="0"/>
          <w:numId w:val="7"/>
        </w:numPr>
        <w:spacing w:after="80" w:line="270"/>
      </w:pPr>
      <w:r>
        <w:rPr>
          <w:rFonts w:ascii="Arial" w:cs="Arial" w:eastAsia="Arial" w:hAnsi="Arial"/>
          <w:color w:val="1B2233"/>
          <w:sz w:val="21"/>
          <w:szCs w:val="21"/>
        </w:rPr>
        <w:t xml:space="preserve">Plan na następny miesiąc i przypisanie odpowiedzialności: 5–10 minut.</w:t>
      </w:r>
    </w:p>
    <w:p>
      <w:pPr>
        <w:pStyle w:val="Heading2"/>
        <w:keepNext/>
        <w:spacing w:after="120" w:before="280"/>
      </w:pPr>
      <w:r>
        <w:rPr>
          <w:rFonts w:ascii="Arial" w:cs="Arial" w:eastAsia="Arial" w:hAnsi="Arial"/>
          <w:b/>
          <w:bCs/>
          <w:color w:val="1F4FD8"/>
          <w:sz w:val="26"/>
          <w:szCs w:val="26"/>
        </w:rPr>
        <w:t xml:space="preserve">D. Słownik pojęć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038"/>
      </w:tblGrid>
      <w:tr>
        <w:trPr>
          <w:cantSplit/>
          <w:tblHeader/>
        </w:trPr>
        <w:tc>
          <w:tcPr>
            <w:tcW w:type="dxa" w:w="26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0A1A45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Pojęcie</w:t>
            </w:r>
          </w:p>
        </w:tc>
        <w:tc>
          <w:tcPr>
            <w:tcW w:type="dxa" w:w="70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0A1A45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Znaczenie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Czerwony tag</w:t>
            </w:r>
          </w:p>
        </w:tc>
        <w:tc>
          <w:tcPr>
            <w:tcW w:type="dxa" w:w="70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Karta przyczepiona do przedmiotu o niejasnym statusie, z datą, powodem i właścicielem decyzji.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Strefa kwarantanny</w:t>
            </w:r>
          </w:p>
        </w:tc>
        <w:tc>
          <w:tcPr>
            <w:tcW w:type="dxa" w:w="70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Wyznaczone miejsce na przedmioty oznaczone tagami do czasu decyzji.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Gemba</w:t>
            </w:r>
          </w:p>
        </w:tc>
        <w:tc>
          <w:tcPr>
            <w:tcW w:type="dxa" w:w="70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Miejsce, gdzie wykonywana jest praca. „Chodzenie po gembie” to wizyta kierownika w obszarze.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Min/max</w:t>
            </w:r>
          </w:p>
        </w:tc>
        <w:tc>
          <w:tcPr>
            <w:tcW w:type="dxa" w:w="70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Dolny i górny limit zapasu w miejscu składowania.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Cień narzędzia</w:t>
            </w:r>
          </w:p>
        </w:tc>
        <w:tc>
          <w:tcPr>
            <w:tcW w:type="dxa" w:w="70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Kontur narzędzia na tablicy lub wkładce, pokazujący jego miejsce.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Standard</w:t>
            </w:r>
          </w:p>
        </w:tc>
        <w:tc>
          <w:tcPr>
            <w:tcW w:type="dxa" w:w="70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Opis lub zdjęcie stanu docelowego, według którego sprawdzamy obszar.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Audyt krzyżowy</w:t>
            </w:r>
          </w:p>
        </w:tc>
        <w:tc>
          <w:tcPr>
            <w:tcW w:type="dxa" w:w="70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Audyt wykonywany przez osobę spoza obszaru.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Kalibracja audytorów</w:t>
            </w:r>
          </w:p>
        </w:tc>
        <w:tc>
          <w:tcPr>
            <w:tcW w:type="dxa" w:w="70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shd w:fill="F7F9F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Wspólna ocena tego samego obszaru, żeby ujednolicić sposób punktowania.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pp (punkt procentowy)</w:t>
            </w:r>
          </w:p>
        </w:tc>
        <w:tc>
          <w:tcPr>
            <w:tcW w:type="dxa" w:w="7038"/>
            <w:tcBorders>
              <w:top w:val="single" w:color="D3D9E6" w:sz="4"/>
              <w:left w:val="single" w:color="D3D9E6" w:sz="4"/>
              <w:bottom w:val="single" w:color="D3D9E6" w:sz="4"/>
              <w:right w:val="single" w:color="D3D9E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20" w:line="250"/>
              <w:jc w:val="left"/>
            </w:pPr>
            <w:r>
              <w:rPr>
                <w:rFonts w:ascii="Arial" w:cs="Arial" w:eastAsia="Arial" w:hAnsi="Arial"/>
                <w:color w:val="1B2233"/>
                <w:sz w:val="19"/>
                <w:szCs w:val="19"/>
              </w:rPr>
              <w:t xml:space="preserve">Jednostka różnicy między dwoma wynikami procentowymi (np. z 70% do 76% to +6 pp).</w:t>
            </w:r>
          </w:p>
        </w:tc>
      </w:tr>
    </w:tbl>
    <w:p>
      <w:pPr>
        <w:keepNext w:val="false"/>
        <w:spacing w:after="2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0A1A45" w:sz="24"/>
              <w:bottom w:val="none" w:color="FFFFFF" w:sz="0"/>
              <w:right w:val="none" w:color="FFFFFF" w:sz="0"/>
            </w:tcBorders>
            <w:shd w:fill="F4F7FF" w:color="auto" w:val="clear"/>
            <w:tcMar>
              <w:top w:type="dxa" w:w="110"/>
              <w:left w:type="dxa" w:w="200"/>
              <w:bottom w:type="dxa" w:w="90"/>
              <w:right w:type="dxa" w:w="160"/>
            </w:tcMar>
          </w:tcPr>
          <w:p>
            <w:pPr>
              <w:keepNext/>
              <w:spacing w:after="60"/>
            </w:pPr>
            <w:r>
              <w:rPr>
                <w:rFonts w:ascii="Arial" w:cs="Arial" w:eastAsia="Arial" w:hAnsi="Arial"/>
                <w:b/>
                <w:bCs/>
                <w:color w:val="0A1A45"/>
                <w:sz w:val="21"/>
                <w:szCs w:val="21"/>
              </w:rPr>
              <w:t xml:space="preserve">Licencja i kontakt</w:t>
            </w:r>
          </w:p>
          <w:p>
            <w:pPr>
              <w:spacing w:after="60" w:line="264"/>
            </w:pPr>
            <w:r>
              <w:rPr>
                <w:rFonts w:ascii="Arial" w:cs="Arial" w:eastAsia="Arial" w:hAnsi="Arial"/>
                <w:color w:val="1B2233"/>
                <w:sz w:val="20"/>
                <w:szCs w:val="20"/>
              </w:rPr>
              <w:t xml:space="preserve">Zestaw jest licencjonowany do użytku wewnętrznego jednego zakładu. Zabrania się odsprzedaży, udostępniania osobom trzecim i publikacji w całości lub w części bez zgody autora.</w:t>
            </w:r>
          </w:p>
          <w:p>
            <w:pPr>
              <w:spacing w:after="60" w:line="264"/>
            </w:pPr>
            <w:r>
              <w:rPr>
                <w:rFonts w:ascii="Arial" w:cs="Arial" w:eastAsia="Arial" w:hAnsi="Arial"/>
                <w:color w:val="1B2233"/>
                <w:sz w:val="20"/>
                <w:szCs w:val="20"/>
              </w:rPr>
              <w:t xml:space="preserve">Pytania i uwagi: </w:t>
            </w:r>
            <w:r>
              <w:rPr>
                <w:rFonts w:ascii="Arial" w:cs="Arial" w:eastAsia="Arial" w:hAnsi="Arial"/>
                <w:b/>
                <w:bCs/>
                <w:color w:val="1B2233"/>
                <w:sz w:val="20"/>
                <w:szCs w:val="20"/>
              </w:rPr>
              <w:t xml:space="preserve">kontakt@processlabpro.com</w:t>
            </w:r>
            <w:r>
              <w:rPr>
                <w:rFonts w:ascii="Arial" w:cs="Arial" w:eastAsia="Arial" w:hAnsi="Arial"/>
                <w:color w:val="1B2233"/>
                <w:sz w:val="20"/>
                <w:szCs w:val="20"/>
              </w:rPr>
              <w:t xml:space="preserve">  |  processlabpro.com</w:t>
            </w:r>
          </w:p>
        </w:tc>
      </w:tr>
    </w:tbl>
    <w:sectPr>
      <w:headerReference w:type="default" r:id="rId6"/>
      <w:headerReference w:type="first" r:id="rId7"/>
      <w:footerReference w:type="default" r:id="rId8"/>
      <w:footerReference w:type="first" r:id="rId9"/>
      <w:pgSz w:w="11906" w:h="16838" w:orient="portrait"/>
      <w:pgMar w:top="1247" w:right="1134" w:bottom="1134" w:left="1134" w:header="560" w:footer="50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rFonts w:ascii="Arial" w:cs="Arial" w:eastAsia="Arial" w:hAnsi="Arial"/>
        <w:color w:val="5B6475"/>
        <w:sz w:val="15"/>
        <w:szCs w:val="15"/>
      </w:rPr>
      <w:t xml:space="preserve">© Process Lab Pro | processlabpro.com | Licencja: użytek wewnętrzny jednego zakładu</w:t>
    </w:r>
    <w:r>
      <w:rPr>
        <w:rFonts w:ascii="Arial" w:cs="Arial" w:eastAsia="Arial" w:hAnsi="Arial"/>
        <w:color w:val="5B6475"/>
        <w:sz w:val="16"/>
        <w:szCs w:val="16"/>
      </w:rPr>
      <w:t xml:space="preserve">	Strona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3D9E6" w:sz="4" w:space="4"/>
      </w:pBdr>
      <w:tabs>
        <w:tab w:val="right" w:pos="9638"/>
      </w:tabs>
    </w:pPr>
    <w:r>
      <w:rPr>
        <w:rFonts w:ascii="Arial" w:cs="Arial" w:eastAsia="Arial" w:hAnsi="Arial"/>
        <w:color w:val="5B6475"/>
        <w:sz w:val="16"/>
        <w:szCs w:val="16"/>
      </w:rPr>
      <w:t xml:space="preserve">Praktyczny przewodnik 5S</w:t>
    </w:r>
    <w:r>
      <w:rPr>
        <w:rFonts w:ascii="Arial" w:cs="Arial" w:eastAsia="Arial" w:hAnsi="Arial"/>
        <w:b/>
        <w:bCs/>
        <w:color w:val="1F4FD8"/>
        <w:sz w:val="16"/>
        <w:szCs w:val="16"/>
      </w:rPr>
      <w:t xml:space="preserve">	Process Lab Pro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  <w:rPr>
        <w:color w:val="1F4FD8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  <w:rPr>
        <w:b/>
        <w:bCs/>
        <w:color w:val="1F4FD8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  <w:rPr>
        <w:b/>
        <w:bCs/>
        <w:color w:val="1F4FD8"/>
      </w:r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  <w:rPr>
        <w:b/>
        <w:bCs/>
        <w:color w:val="1F4FD8"/>
      </w:rPr>
    </w:lvl>
  </w:abstractNum>
  <w:abstractNum w:abstractNumId="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  <w:rPr>
        <w:b/>
        <w:bCs/>
        <w:color w:val="1F4FD8"/>
      </w:rPr>
    </w:lvl>
  </w:abstractNum>
  <w:abstractNum w:abstractNumId="7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  <w:rPr>
        <w:b/>
        <w:bCs/>
        <w:color w:val="1F4FD8"/>
      </w:r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7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Praktyczny przewodnik 5S</dc:title>
  <dc:creator>Process Lab Pro</dc:creator>
  <dc:description>Zestaw wdrożeniowy 5S</dc:description>
  <cp:lastModifiedBy>Un-named</cp:lastModifiedBy>
  <cp:revision>1</cp:revision>
  <dcterms:created xsi:type="dcterms:W3CDTF">2026-10-28T17:15:41.211Z</dcterms:created>
  <dcterms:modified xsi:type="dcterms:W3CDTF">2026-10-28T17:15:41.211Z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